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7777777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C34CB"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77777777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2021?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77777777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5C34CB">
              <w:rPr>
                <w:b/>
              </w:rPr>
              <w:t>21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462AE678" w14:textId="77777777" w:rsidR="001B004B" w:rsidRDefault="001B004B" w:rsidP="001B004B">
            <w:pPr>
              <w:pStyle w:val="Default"/>
              <w:rPr>
                <w:b/>
              </w:rPr>
            </w:pPr>
            <w:r>
              <w:rPr>
                <w:b/>
              </w:rPr>
              <w:t>Mål for ordningen:</w:t>
            </w:r>
          </w:p>
          <w:sdt>
            <w:sdtPr>
              <w:rPr>
                <w:rFonts w:ascii="Arial" w:hAnsi="Arial"/>
                <w:spacing w:val="-1"/>
              </w:rPr>
              <w:id w:val="-119999398"/>
              <w:placeholder>
                <w:docPart w:val="A4597EAAA9174D258BE321AB5F12F5CF"/>
              </w:placeholder>
            </w:sdtPr>
            <w:sdtEndPr>
              <w:rPr>
                <w:rFonts w:ascii="MuseoSans300" w:hAnsi="MuseoSans300" w:cs="Arial"/>
                <w:color w:val="303030"/>
                <w:spacing w:val="0"/>
              </w:rPr>
            </w:sdtEndPr>
            <w:sdtContent>
              <w:sdt>
                <w:sdtPr>
                  <w:rPr>
                    <w:rFonts w:ascii="MuseoSans300" w:hAnsi="MuseoSans300" w:cs="Arial"/>
                    <w:color w:val="303030"/>
                  </w:rPr>
                  <w:id w:val="2003388462"/>
                  <w:placeholder>
                    <w:docPart w:val="250B5DFDCA66433F9416867B23F2B12A"/>
                  </w:placeholder>
                </w:sdtPr>
                <w:sdtEndPr/>
                <w:sdtContent>
                  <w:p w14:paraId="28FFC892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Målet for ordningen er å styrke tilbudet til barn og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unge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som har behov for langvarig, tilpasset og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/eller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sammensatt oppfølging.</w:t>
                    </w:r>
                    <w:r w:rsidRPr="0068707A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Tilskuddet skal stimulere til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helhetlige tjenester 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forpliktende samhandling mellom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ulike nivåer og sektorer: mellom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kommune og spesialisthelsetjenester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, mellom kommunale tjenester og gjennom interkommunalt samarbeid.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</w:p>
                  <w:p w14:paraId="77BE534A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5B8E3E4F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T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jenestet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ilbud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skal utvikles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og iverksettes sammen med brukere/pasienter.</w:t>
                    </w:r>
                  </w:p>
                  <w:p w14:paraId="7AF9436C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479C878F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Delmål:</w:t>
                    </w:r>
                  </w:p>
                  <w:p w14:paraId="5B096691" w14:textId="77777777" w:rsidR="003C3F84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flere kommuner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helseforetak etablerer og iverksetter kunnskapsbaserte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metoder,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modeller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tiltak for målgruppen.</w:t>
                    </w:r>
                  </w:p>
                  <w:p w14:paraId="12B0BEEA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>
                      <w:rPr>
                        <w:rFonts w:ascii="MuseoSans300" w:hAnsi="MuseoSans300" w:cs="Arial"/>
                        <w:color w:val="303030"/>
                      </w:rPr>
                      <w:lastRenderedPageBreak/>
                      <w:t>Bidra til omstilling av eksisterende tjenester innen psykisk helse og rus, i retning mer oppsøkende og fleksible tjenester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  <w:u w:val="single"/>
                      </w:rPr>
                      <w:t xml:space="preserve"> i kommuner og helseforetak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. </w:t>
                    </w:r>
                  </w:p>
                  <w:p w14:paraId="2198E29D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tjenesteutviklingen skjer på barn og unges arena og premisser, med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vekt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på tidlig og riktig innsats, livsmestring og sosial inkludering. </w:t>
                    </w:r>
                  </w:p>
                  <w:p w14:paraId="013A5F14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Bidra til fortsatt utprøving og evaluering av nye metoder/arbeidsformer og modeller på psykisk helse-, rus- og voldsfeltet.</w:t>
                    </w:r>
                  </w:p>
                  <w:p w14:paraId="375E4507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368AF151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Målgruppe:</w:t>
                    </w:r>
                  </w:p>
                  <w:p w14:paraId="0B587237" w14:textId="798313D1" w:rsidR="003C3F84" w:rsidRPr="00BA0203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  <w:bookmarkStart w:id="0" w:name="_Hlk532891645"/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Barn og unge med psykiske problemer og/eller rusrelaterte problemer som har behov for utredning, behandling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</w:t>
                    </w:r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oppfølging, samt de som lever med høy risiko for å utvikle alvorlig funksjonsnedsettelse og deres familier.</w:t>
                    </w:r>
                  </w:p>
                </w:sdtContent>
              </w:sdt>
              <w:bookmarkEnd w:id="0" w:displacedByCustomXml="next"/>
            </w:sdtContent>
          </w:sdt>
          <w:p w14:paraId="5B226DE3" w14:textId="77777777" w:rsidR="003C3F84" w:rsidRDefault="003C3F84" w:rsidP="003C3F84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  <w:lang w:val="nb-NO"/>
              </w:rPr>
            </w:pPr>
          </w:p>
          <w:p w14:paraId="4C03BCA9" w14:textId="6BB8BB8C" w:rsidR="005D1C77" w:rsidRPr="001B004B" w:rsidRDefault="005D1C77" w:rsidP="001B004B">
            <w:pPr>
              <w:rPr>
                <w:rFonts w:cstheme="minorHAnsi"/>
                <w:b/>
              </w:rPr>
            </w:pP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C4E9D67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1:</w:t>
            </w:r>
          </w:p>
          <w:p w14:paraId="5EF93FAC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Det gis tilskudd til delfinansiering av etablering og drift av tverrfaglig oppsøkende behandlings- og oppfølgingsteam for barn og unge etter modell av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FACT-ung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1B0C9FB9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830835">
              <w:rPr>
                <w:rFonts w:ascii="MuseoSans300" w:hAnsi="MuseoSans300" w:cs="Arial"/>
                <w:color w:val="303030"/>
              </w:rPr>
              <w:t xml:space="preserve">Tilskuddet skal bidra til en omstilling og styrking av eksisterende tjenester for barn og ungdom 12-24 år der målet er å utvikle en ny </w:t>
            </w:r>
            <w:r>
              <w:rPr>
                <w:rFonts w:ascii="MuseoSans300" w:hAnsi="MuseoSans300" w:cs="Arial"/>
                <w:color w:val="303030"/>
              </w:rPr>
              <w:t xml:space="preserve">modell </w:t>
            </w:r>
            <w:r w:rsidRPr="00830835">
              <w:rPr>
                <w:rFonts w:ascii="MuseoSans300" w:hAnsi="MuseoSans300" w:cs="Arial"/>
                <w:color w:val="303030"/>
              </w:rPr>
              <w:t xml:space="preserve">for integrert samhandling mellom spesialisthelsetjenesten og kommunale tjenester. Partene må vurdere hvordan egne ressurser og eksisterende tjenester kan benyttes sammen med tilskuddet det søkes om. </w:t>
            </w:r>
          </w:p>
          <w:p w14:paraId="4E5847CF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lønnsutgifter, opplæring av teamansatte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094878">
              <w:rPr>
                <w:rFonts w:ascii="MuseoSans300" w:hAnsi="MuseoSans300" w:cs="Arial"/>
                <w:color w:val="303030"/>
              </w:rPr>
              <w:t xml:space="preserve">og forankring, også i andre lokale tjenester og administrasjon. </w:t>
            </w:r>
          </w:p>
          <w:p w14:paraId="2BC7B49B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Helsedirektoratet vil legge til rette for opplæring og annen implementeringstøtte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i samarbeid med Statsforvalteren og kompetansemiljøer. Kostnader knyttet til deltakelse i opplæring/ implementeringstøtte forutsettes dekket av teamene gjennom egne midler og maksimum </w:t>
            </w:r>
            <w:r>
              <w:rPr>
                <w:rFonts w:ascii="MuseoSans300" w:hAnsi="MuseoSans300" w:cs="Arial"/>
                <w:color w:val="303030"/>
              </w:rPr>
              <w:t xml:space="preserve">kr. </w:t>
            </w:r>
            <w:r w:rsidRPr="00094878">
              <w:rPr>
                <w:rFonts w:ascii="MuseoSans300" w:hAnsi="MuseoSans300" w:cs="Arial"/>
                <w:color w:val="303030"/>
              </w:rPr>
              <w:t>20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094878">
              <w:rPr>
                <w:rFonts w:ascii="MuseoSans300" w:hAnsi="MuseoSans300" w:cs="Arial"/>
                <w:color w:val="303030"/>
              </w:rPr>
              <w:t xml:space="preserve">000 </w:t>
            </w:r>
            <w:r>
              <w:rPr>
                <w:rFonts w:ascii="MuseoSans300" w:hAnsi="MuseoSans300" w:cs="Arial"/>
                <w:color w:val="303030"/>
              </w:rPr>
              <w:t>fra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tilskuddsmidler per stilling som innvilges. </w:t>
            </w:r>
          </w:p>
          <w:p w14:paraId="27686112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Søkere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må sette seg grundig inn i FACT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6A60C34E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En f</w:t>
            </w:r>
            <w:r w:rsidRPr="00094878">
              <w:rPr>
                <w:rFonts w:ascii="MuseoSans300" w:hAnsi="MuseoSans300" w:cs="Arial"/>
                <w:color w:val="303030"/>
              </w:rPr>
              <w:t xml:space="preserve">idelity-skala måler i hvilken grad en behandlingsmodell gjennomføres i samsvar med den forskningsbaserte modellen. Det kreves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idelitymåling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1. og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3. år og ev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. justering til </w:t>
            </w:r>
            <w:r>
              <w:rPr>
                <w:rFonts w:ascii="MuseoSans300" w:hAnsi="MuseoSans300" w:cs="Arial"/>
                <w:color w:val="303030"/>
              </w:rPr>
              <w:t>FACT-ung-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1D318A63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Sentrale komponenter i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>:</w:t>
            </w:r>
          </w:p>
          <w:p w14:paraId="1096C5E5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p w14:paraId="0332921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på barn/ungdommers ønsker, behov og ressurser for egeninnsats</w:t>
            </w:r>
          </w:p>
          <w:p w14:paraId="461A9900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Forpliktende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integrerte samhandlingsteam mellom kommune og spesialisthelsetjeneste </w:t>
            </w:r>
          </w:p>
          <w:p w14:paraId="056C7464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 opp fullverdige team som yter flere tjenester/kompetanseområder</w:t>
            </w:r>
          </w:p>
          <w:p w14:paraId="2CB9CD36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Oppsøkende arbeid på barna/ungdommers arena</w:t>
            </w:r>
          </w:p>
          <w:p w14:paraId="6F0262E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Tilby behandling i tråd med faglige retningslinjer og normer</w:t>
            </w:r>
          </w:p>
          <w:p w14:paraId="4998893D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Støtte opp under sosial inkludering og nettverksbygging</w:t>
            </w:r>
          </w:p>
          <w:p w14:paraId="7BD5BCDA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</w:p>
          <w:p w14:paraId="51BAF347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Trofasthet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modellen ved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>måling</w:t>
            </w:r>
          </w:p>
          <w:p w14:paraId="0C13BCD8" w14:textId="77777777" w:rsidR="003C3F84" w:rsidRDefault="003C3F84" w:rsidP="003C3F84">
            <w:pPr>
              <w:autoSpaceDE w:val="0"/>
              <w:autoSpaceDN w:val="0"/>
              <w:adjustRightInd w:val="0"/>
              <w:ind w:left="357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 </w:t>
            </w: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7BC8857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Det gis tilskudd til utvikling og etablering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av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kunnskapsbaserte metoder, modeller og tiltak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i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</w:t>
            </w:r>
            <w:r w:rsidRPr="006665C9">
              <w:rPr>
                <w:rFonts w:ascii="MuseoSans300" w:hAnsi="MuseoSans300" w:cs="Arial"/>
                <w:b/>
                <w:bCs/>
                <w:i/>
                <w:iCs/>
                <w:color w:val="303030"/>
                <w:u w:val="single"/>
              </w:rPr>
              <w:t>lokale 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f.eks. etter modell av Ung Arena og annen modellutprøving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for tilgjengelige og helhetlige </w:t>
            </w:r>
          </w:p>
          <w:p w14:paraId="56B40DC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54806686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</w:p>
          <w:p w14:paraId="5CEA1279" w14:textId="77777777" w:rsidR="003C3F84" w:rsidRPr="007A450E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</w:t>
            </w:r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Statforvalter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kan etter en skjønn vurdere opplæring/kurs og andre nødvendige tiltak.</w:t>
            </w:r>
          </w:p>
          <w:p w14:paraId="1AD38619" w14:textId="77777777" w:rsidR="003C3F84" w:rsidRPr="007A450E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Sentral komponenter vil være: </w:t>
            </w:r>
          </w:p>
          <w:p w14:paraId="3FCC3444" w14:textId="77777777" w:rsidR="003C3F84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L</w:t>
            </w:r>
            <w:r w:rsidRPr="006665C9">
              <w:rPr>
                <w:rFonts w:ascii="MuseoSans300" w:hAnsi="MuseoSans300" w:cs="Arial"/>
                <w:color w:val="303030"/>
              </w:rPr>
              <w:t>avterskeltilbud</w:t>
            </w:r>
          </w:p>
          <w:p w14:paraId="17FDDD9C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lastRenderedPageBreak/>
              <w:t xml:space="preserve">Tiltaket har ansvar for å gi et helhetlig tilbud fra flere tjenester og </w:t>
            </w:r>
            <w:r>
              <w:rPr>
                <w:rFonts w:ascii="MuseoSans300" w:hAnsi="MuseoSans300" w:cs="Arial"/>
                <w:color w:val="303030"/>
              </w:rPr>
              <w:t>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tverrfaglig</w:t>
            </w:r>
          </w:p>
          <w:p w14:paraId="012B7966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bookmarkStart w:id="1" w:name="_Hlk57659682"/>
            <w:r w:rsidRPr="006665C9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bookmarkEnd w:id="1"/>
          <w:p w14:paraId="7BDCFBB8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Oppsøkende virksomhet der høy andel </w:t>
            </w:r>
            <w:r>
              <w:rPr>
                <w:rFonts w:ascii="MuseoSans300" w:hAnsi="MuseoSans300" w:cs="Arial"/>
                <w:color w:val="303030"/>
              </w:rPr>
              <w:t xml:space="preserve">av </w:t>
            </w:r>
            <w:r w:rsidRPr="006665C9">
              <w:rPr>
                <w:rFonts w:ascii="MuseoSans300" w:hAnsi="MuseoSans300" w:cs="Arial"/>
                <w:color w:val="303030"/>
              </w:rPr>
              <w:t>kontaktene skjer på barn/unges arena</w:t>
            </w:r>
          </w:p>
          <w:p w14:paraId="67B1AE7D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Stor grad av fleksibilitet og tilgjengelighet ut fra behov i målgruppen</w:t>
            </w:r>
          </w:p>
          <w:p w14:paraId="267FE553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Psykiater/ psykolog bør være innlemmet i tiltaket/teamet eller samarbeidsavtale med Helseforetak</w:t>
            </w:r>
          </w:p>
          <w:p w14:paraId="138D7AEB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  <w:r>
              <w:rPr>
                <w:rFonts w:ascii="MuseoSans300" w:hAnsi="MuseoSans300" w:cs="Arial"/>
                <w:color w:val="303030"/>
              </w:rPr>
              <w:t>/tjenester</w:t>
            </w:r>
          </w:p>
          <w:p w14:paraId="35B15413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6EF33A69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76CD13AC" w14:textId="77777777" w:rsidR="004F10F7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lastRenderedPageBreak/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984D2E5" w14:textId="6F756298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>1</w:t>
      </w:r>
      <w:r w:rsidR="00472783">
        <w:rPr>
          <w:b/>
          <w:i/>
          <w:sz w:val="24"/>
          <w:szCs w:val="24"/>
        </w:rPr>
        <w:t>2</w:t>
      </w:r>
      <w:r w:rsidR="001475D8">
        <w:rPr>
          <w:b/>
          <w:i/>
          <w:sz w:val="24"/>
          <w:szCs w:val="24"/>
        </w:rPr>
        <w:t xml:space="preserve">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1 </w:t>
      </w:r>
    </w:p>
    <w:p w14:paraId="179B6CB7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3"/>
  </w:num>
  <w:num w:numId="4">
    <w:abstractNumId w:val="5"/>
  </w:num>
  <w:num w:numId="5">
    <w:abstractNumId w:val="28"/>
  </w:num>
  <w:num w:numId="6">
    <w:abstractNumId w:val="22"/>
  </w:num>
  <w:num w:numId="7">
    <w:abstractNumId w:val="0"/>
  </w:num>
  <w:num w:numId="8">
    <w:abstractNumId w:val="17"/>
  </w:num>
  <w:num w:numId="9">
    <w:abstractNumId w:val="14"/>
  </w:num>
  <w:num w:numId="10">
    <w:abstractNumId w:val="27"/>
  </w:num>
  <w:num w:numId="11">
    <w:abstractNumId w:val="21"/>
  </w:num>
  <w:num w:numId="12">
    <w:abstractNumId w:val="34"/>
  </w:num>
  <w:num w:numId="13">
    <w:abstractNumId w:val="1"/>
  </w:num>
  <w:num w:numId="14">
    <w:abstractNumId w:val="11"/>
  </w:num>
  <w:num w:numId="15">
    <w:abstractNumId w:val="44"/>
  </w:num>
  <w:num w:numId="16">
    <w:abstractNumId w:val="8"/>
  </w:num>
  <w:num w:numId="17">
    <w:abstractNumId w:val="48"/>
  </w:num>
  <w:num w:numId="18">
    <w:abstractNumId w:val="42"/>
  </w:num>
  <w:num w:numId="19">
    <w:abstractNumId w:val="40"/>
  </w:num>
  <w:num w:numId="20">
    <w:abstractNumId w:val="7"/>
  </w:num>
  <w:num w:numId="21">
    <w:abstractNumId w:val="24"/>
  </w:num>
  <w:num w:numId="22">
    <w:abstractNumId w:val="20"/>
  </w:num>
  <w:num w:numId="23">
    <w:abstractNumId w:val="26"/>
  </w:num>
  <w:num w:numId="24">
    <w:abstractNumId w:val="9"/>
  </w:num>
  <w:num w:numId="25">
    <w:abstractNumId w:val="38"/>
  </w:num>
  <w:num w:numId="26">
    <w:abstractNumId w:val="39"/>
  </w:num>
  <w:num w:numId="27">
    <w:abstractNumId w:val="35"/>
  </w:num>
  <w:num w:numId="28">
    <w:abstractNumId w:val="31"/>
  </w:num>
  <w:num w:numId="29">
    <w:abstractNumId w:val="23"/>
  </w:num>
  <w:num w:numId="30">
    <w:abstractNumId w:val="2"/>
  </w:num>
  <w:num w:numId="31">
    <w:abstractNumId w:val="15"/>
  </w:num>
  <w:num w:numId="32">
    <w:abstractNumId w:val="12"/>
  </w:num>
  <w:num w:numId="33">
    <w:abstractNumId w:val="43"/>
  </w:num>
  <w:num w:numId="34">
    <w:abstractNumId w:val="32"/>
  </w:num>
  <w:num w:numId="35">
    <w:abstractNumId w:val="41"/>
  </w:num>
  <w:num w:numId="36">
    <w:abstractNumId w:val="29"/>
  </w:num>
  <w:num w:numId="37">
    <w:abstractNumId w:val="45"/>
  </w:num>
  <w:num w:numId="38">
    <w:abstractNumId w:val="10"/>
  </w:num>
  <w:num w:numId="39">
    <w:abstractNumId w:val="37"/>
  </w:num>
  <w:num w:numId="40">
    <w:abstractNumId w:val="49"/>
  </w:num>
  <w:num w:numId="41">
    <w:abstractNumId w:val="4"/>
  </w:num>
  <w:num w:numId="42">
    <w:abstractNumId w:val="47"/>
  </w:num>
  <w:num w:numId="43">
    <w:abstractNumId w:val="18"/>
  </w:num>
  <w:num w:numId="44">
    <w:abstractNumId w:val="25"/>
  </w:num>
  <w:num w:numId="45">
    <w:abstractNumId w:val="19"/>
  </w:num>
  <w:num w:numId="46">
    <w:abstractNumId w:val="16"/>
  </w:num>
  <w:num w:numId="47">
    <w:abstractNumId w:val="46"/>
  </w:num>
  <w:num w:numId="48">
    <w:abstractNumId w:val="6"/>
  </w:num>
  <w:num w:numId="49">
    <w:abstractNumId w:val="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597EAAA9174D258BE321AB5F12F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E1890-A139-4672-86EE-6E99FDEB0B58}"/>
      </w:docPartPr>
      <w:docPartBody>
        <w:p w:rsidR="00CD0F6D" w:rsidRDefault="003974D0" w:rsidP="003974D0">
          <w:pPr>
            <w:pStyle w:val="A4597EAAA9174D258BE321AB5F12F5CF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50B5DFDCA66433F9416867B23F2B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2B1B1-0E5D-4C85-A4D3-504F2AB13859}"/>
      </w:docPartPr>
      <w:docPartBody>
        <w:p w:rsidR="00CD0F6D" w:rsidRDefault="003974D0" w:rsidP="003974D0">
          <w:pPr>
            <w:pStyle w:val="250B5DFDCA66433F9416867B23F2B12A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A4597EAAA9174D258BE321AB5F12F5CF">
    <w:name w:val="A4597EAAA9174D258BE321AB5F12F5CF"/>
    <w:rsid w:val="003974D0"/>
    <w:pPr>
      <w:spacing w:after="160" w:line="259" w:lineRule="auto"/>
    </w:pPr>
  </w:style>
  <w:style w:type="paragraph" w:customStyle="1" w:styleId="250B5DFDCA66433F9416867B23F2B12A">
    <w:name w:val="250B5DFDCA66433F9416867B23F2B12A"/>
    <w:rsid w:val="003974D0"/>
    <w:pPr>
      <w:spacing w:after="160" w:line="259" w:lineRule="auto"/>
    </w:pPr>
  </w:style>
  <w:style w:type="paragraph" w:customStyle="1" w:styleId="F23788A94E89476597FE486F00AE1B9F">
    <w:name w:val="F23788A94E89476597FE486F00AE1B9F"/>
    <w:rsid w:val="00E059EF"/>
    <w:pPr>
      <w:spacing w:after="160" w:line="259" w:lineRule="auto"/>
    </w:pPr>
  </w:style>
  <w:style w:type="paragraph" w:customStyle="1" w:styleId="BFF981FA610F4EB2B0F287EF24A95743">
    <w:name w:val="BFF981FA610F4EB2B0F287EF24A95743"/>
    <w:rsid w:val="00E059EF"/>
    <w:pPr>
      <w:spacing w:after="160" w:line="259" w:lineRule="auto"/>
    </w:pPr>
  </w:style>
  <w:style w:type="paragraph" w:customStyle="1" w:styleId="A2F46A24A61A43E282AE3B5D81B466E2">
    <w:name w:val="A2F46A24A61A43E282AE3B5D81B466E2"/>
    <w:rsid w:val="00E059EF"/>
    <w:pPr>
      <w:spacing w:after="160" w:line="259" w:lineRule="auto"/>
    </w:pPr>
  </w:style>
  <w:style w:type="paragraph" w:customStyle="1" w:styleId="04B882B6F8FF46E287AD81A5119209A7">
    <w:name w:val="04B882B6F8FF46E287AD81A5119209A7"/>
    <w:rsid w:val="00E059EF"/>
    <w:pPr>
      <w:spacing w:after="160" w:line="259" w:lineRule="auto"/>
    </w:pPr>
  </w:style>
  <w:style w:type="paragraph" w:customStyle="1" w:styleId="F8614ED85B0D4817A88471E06CF7B7D4">
    <w:name w:val="F8614ED85B0D4817A88471E06CF7B7D4"/>
    <w:rsid w:val="00E059EF"/>
    <w:pPr>
      <w:spacing w:after="160" w:line="259" w:lineRule="auto"/>
    </w:pPr>
  </w:style>
  <w:style w:type="paragraph" w:customStyle="1" w:styleId="CE033373E6B44C88A719D7F6DC9B54F3">
    <w:name w:val="CE033373E6B44C88A719D7F6DC9B54F3"/>
    <w:rsid w:val="00E059EF"/>
    <w:pPr>
      <w:spacing w:after="160" w:line="259" w:lineRule="auto"/>
    </w:pPr>
  </w:style>
  <w:style w:type="paragraph" w:customStyle="1" w:styleId="B091D0AA784D4D7380CB4FEDBA9CDEEA">
    <w:name w:val="B091D0AA784D4D7380CB4FEDBA9CDEEA"/>
    <w:rsid w:val="00E059EF"/>
    <w:pPr>
      <w:spacing w:after="160" w:line="259" w:lineRule="auto"/>
    </w:pPr>
  </w:style>
  <w:style w:type="paragraph" w:customStyle="1" w:styleId="B95E5A75A4C44B20BD17EDAC19486FAD">
    <w:name w:val="B95E5A75A4C44B20BD17EDAC19486FAD"/>
    <w:rsid w:val="00E059EF"/>
    <w:pPr>
      <w:spacing w:after="160" w:line="259" w:lineRule="auto"/>
    </w:pPr>
  </w:style>
  <w:style w:type="paragraph" w:customStyle="1" w:styleId="B6E381E5F4754689B2636165345DB7EA">
    <w:name w:val="B6E381E5F4754689B2636165345DB7EA"/>
    <w:rsid w:val="00E059EF"/>
    <w:pPr>
      <w:spacing w:after="160" w:line="259" w:lineRule="auto"/>
    </w:pPr>
  </w:style>
  <w:style w:type="paragraph" w:customStyle="1" w:styleId="9348AD7EAEEE4D759DC627BA00DF1265">
    <w:name w:val="9348AD7EAEEE4D759DC627BA00DF1265"/>
    <w:rsid w:val="00E059EF"/>
    <w:pPr>
      <w:spacing w:after="160" w:line="259" w:lineRule="auto"/>
    </w:pPr>
  </w:style>
  <w:style w:type="paragraph" w:customStyle="1" w:styleId="E5AB97CF29C24451A80F3454BDF1D748">
    <w:name w:val="E5AB97CF29C24451A80F3454BDF1D748"/>
    <w:rsid w:val="00E059EF"/>
    <w:pPr>
      <w:spacing w:after="160" w:line="259" w:lineRule="auto"/>
    </w:pPr>
  </w:style>
  <w:style w:type="paragraph" w:customStyle="1" w:styleId="D2B65BB1797C4357AFC5128EF3828E4B">
    <w:name w:val="D2B65BB1797C4357AFC5128EF3828E4B"/>
    <w:rsid w:val="00E059EF"/>
    <w:pPr>
      <w:spacing w:after="160" w:line="259" w:lineRule="auto"/>
    </w:pPr>
  </w:style>
  <w:style w:type="paragraph" w:customStyle="1" w:styleId="73F78DBCC4D94D4199AD8276232525A8">
    <w:name w:val="73F78DBCC4D94D4199AD8276232525A8"/>
    <w:rsid w:val="00E059EF"/>
    <w:pPr>
      <w:spacing w:after="160" w:line="259" w:lineRule="auto"/>
    </w:pPr>
  </w:style>
  <w:style w:type="paragraph" w:customStyle="1" w:styleId="786223C8964648369D855BA7EFA7CE13">
    <w:name w:val="786223C8964648369D855BA7EFA7CE13"/>
    <w:rsid w:val="00E059EF"/>
    <w:pPr>
      <w:spacing w:after="160" w:line="259" w:lineRule="auto"/>
    </w:pPr>
  </w:style>
  <w:style w:type="paragraph" w:customStyle="1" w:styleId="D916565C30BD41079FDC9296B31E6440">
    <w:name w:val="D916565C30BD41079FDC9296B31E6440"/>
    <w:rsid w:val="00E059EF"/>
    <w:pPr>
      <w:spacing w:after="160" w:line="259" w:lineRule="auto"/>
    </w:pPr>
  </w:style>
  <w:style w:type="paragraph" w:customStyle="1" w:styleId="53B43D9987654C0F842E92AB6F947F2B">
    <w:name w:val="53B43D9987654C0F842E92AB6F947F2B"/>
    <w:rsid w:val="00E059EF"/>
    <w:pPr>
      <w:spacing w:after="160" w:line="259" w:lineRule="auto"/>
    </w:pPr>
  </w:style>
  <w:style w:type="paragraph" w:customStyle="1" w:styleId="531C7760311D4F049CE1FF5914892F5C">
    <w:name w:val="531C7760311D4F049CE1FF5914892F5C"/>
    <w:rsid w:val="00E059EF"/>
    <w:pPr>
      <w:spacing w:after="160" w:line="259" w:lineRule="auto"/>
    </w:pPr>
  </w:style>
  <w:style w:type="paragraph" w:customStyle="1" w:styleId="89E394CB10F244399B7378CF89FF34D0">
    <w:name w:val="89E394CB10F244399B7378CF89FF34D0"/>
    <w:rsid w:val="00E059EF"/>
    <w:pPr>
      <w:spacing w:after="160" w:line="259" w:lineRule="auto"/>
    </w:pPr>
  </w:style>
  <w:style w:type="paragraph" w:customStyle="1" w:styleId="CC332FC146DB4F17861299918C64CA12">
    <w:name w:val="CC332FC146DB4F17861299918C64CA12"/>
    <w:rsid w:val="00E059EF"/>
    <w:pPr>
      <w:spacing w:after="160" w:line="259" w:lineRule="auto"/>
    </w:pPr>
  </w:style>
  <w:style w:type="paragraph" w:customStyle="1" w:styleId="BAAB89D3249C49DA834561D763FA85BF">
    <w:name w:val="BAAB89D3249C49DA834561D763FA85BF"/>
    <w:rsid w:val="00E059EF"/>
    <w:pPr>
      <w:spacing w:after="160" w:line="259" w:lineRule="auto"/>
    </w:pPr>
  </w:style>
  <w:style w:type="paragraph" w:customStyle="1" w:styleId="24E91A37D3C74F918DDA633CF1836B45">
    <w:name w:val="24E91A37D3C74F918DDA633CF1836B45"/>
    <w:rsid w:val="00E059EF"/>
    <w:pPr>
      <w:spacing w:after="160" w:line="259" w:lineRule="auto"/>
    </w:pPr>
  </w:style>
  <w:style w:type="paragraph" w:customStyle="1" w:styleId="4DAEAF891A4E4E7EA2852BA20FA75A43">
    <w:name w:val="4DAEAF891A4E4E7EA2852BA20FA75A43"/>
    <w:rsid w:val="00E059EF"/>
    <w:pPr>
      <w:spacing w:after="160" w:line="259" w:lineRule="auto"/>
    </w:pPr>
  </w:style>
  <w:style w:type="paragraph" w:customStyle="1" w:styleId="AE903C5B21CF42DEAFEBCA9E05391EDC">
    <w:name w:val="AE903C5B21CF42DEAFEBCA9E05391EDC"/>
    <w:rsid w:val="00E059EF"/>
    <w:pPr>
      <w:spacing w:after="160" w:line="259" w:lineRule="auto"/>
    </w:pPr>
  </w:style>
  <w:style w:type="paragraph" w:customStyle="1" w:styleId="1091A5C770514631A00F01523B7FAB89">
    <w:name w:val="1091A5C770514631A00F01523B7FAB89"/>
    <w:rsid w:val="00E059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1617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Stig Herman Nygård</cp:lastModifiedBy>
  <cp:revision>12</cp:revision>
  <cp:lastPrinted>2018-02-05T09:26:00Z</cp:lastPrinted>
  <dcterms:created xsi:type="dcterms:W3CDTF">2020-01-02T14:41:00Z</dcterms:created>
  <dcterms:modified xsi:type="dcterms:W3CDTF">2021-02-01T09:26:00Z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