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AEBF7" w14:textId="77777777" w:rsidR="001E0EC9" w:rsidRDefault="001B27C4" w:rsidP="001E0EC9">
      <w:pPr>
        <w:pStyle w:val="Sterktsitat"/>
        <w:spacing w:before="0" w:after="0" w:line="240" w:lineRule="auto"/>
        <w:rPr>
          <w:rFonts w:ascii="Open Sans" w:hAnsi="Open Sans" w:cs="Open Sans"/>
          <w:noProof/>
          <w:sz w:val="28"/>
          <w:szCs w:val="28"/>
        </w:rPr>
      </w:pPr>
      <w:r w:rsidRPr="00A04403">
        <w:rPr>
          <w:rFonts w:ascii="Open Sans" w:hAnsi="Open Sans" w:cs="Open Sans"/>
          <w:noProof/>
          <w:sz w:val="34"/>
          <w:szCs w:val="34"/>
        </w:rPr>
        <w:t>Langsiktig plan</w:t>
      </w:r>
      <w:r w:rsidRPr="00A04403">
        <w:rPr>
          <w:rFonts w:ascii="Open Sans" w:hAnsi="Open Sans" w:cs="Open Sans"/>
          <w:noProof/>
          <w:sz w:val="28"/>
          <w:szCs w:val="28"/>
        </w:rPr>
        <w:t xml:space="preserve"> </w:t>
      </w:r>
      <w:r w:rsidR="00557499" w:rsidRPr="00A04403">
        <w:rPr>
          <w:rFonts w:ascii="Open Sans" w:hAnsi="Open Sans" w:cs="Open Sans"/>
          <w:noProof/>
          <w:sz w:val="28"/>
          <w:szCs w:val="28"/>
        </w:rPr>
        <w:br/>
      </w:r>
      <w:r w:rsidRPr="00A04403">
        <w:rPr>
          <w:rFonts w:ascii="Open Sans" w:hAnsi="Open Sans" w:cs="Open Sans"/>
          <w:noProof/>
          <w:sz w:val="28"/>
          <w:szCs w:val="28"/>
        </w:rPr>
        <w:t xml:space="preserve">for </w:t>
      </w:r>
    </w:p>
    <w:p w14:paraId="600A58D6" w14:textId="082D90DC" w:rsidR="001B27C4" w:rsidRPr="00A04403" w:rsidRDefault="001B27C4" w:rsidP="001E0EC9">
      <w:pPr>
        <w:pStyle w:val="Sterktsitat"/>
        <w:spacing w:before="0" w:after="0" w:line="240" w:lineRule="auto"/>
        <w:rPr>
          <w:rFonts w:ascii="Open Sans" w:hAnsi="Open Sans" w:cs="Open Sans"/>
          <w:noProof/>
          <w:sz w:val="28"/>
          <w:szCs w:val="28"/>
        </w:rPr>
      </w:pPr>
      <w:r w:rsidRPr="00A04403">
        <w:rPr>
          <w:rFonts w:ascii="Open Sans" w:hAnsi="Open Sans" w:cs="Open Sans"/>
          <w:noProof/>
          <w:sz w:val="28"/>
          <w:szCs w:val="28"/>
        </w:rPr>
        <w:t xml:space="preserve">Dekom Trøndelag </w:t>
      </w:r>
    </w:p>
    <w:p w14:paraId="59C96D27" w14:textId="15AE7B1B" w:rsidR="001B27C4" w:rsidRPr="002947D9" w:rsidRDefault="002947D9" w:rsidP="001E0EC9">
      <w:pPr>
        <w:spacing w:after="0" w:line="240" w:lineRule="auto"/>
        <w:rPr>
          <w:rFonts w:ascii="Open Sans" w:hAnsi="Open Sans" w:cs="Open Sans"/>
          <w:noProof/>
        </w:rPr>
      </w:pPr>
      <w:r>
        <w:rPr>
          <w:rFonts w:ascii="Open Sans" w:hAnsi="Open Sans" w:cs="Open Sans"/>
          <w:i/>
          <w:iCs/>
          <w:noProof/>
        </w:rPr>
        <w:br/>
      </w:r>
      <w:r w:rsidR="00ED6AC8" w:rsidRPr="002947D9">
        <w:rPr>
          <w:rFonts w:ascii="Open Sans" w:hAnsi="Open Sans" w:cs="Open Sans"/>
          <w:i/>
          <w:iCs/>
          <w:noProof/>
        </w:rPr>
        <w:t>Hensikten med dette dokumentet er å skape forutsigbarhet for aktøre</w:t>
      </w:r>
      <w:r w:rsidR="00763F21">
        <w:rPr>
          <w:rFonts w:ascii="Open Sans" w:hAnsi="Open Sans" w:cs="Open Sans"/>
          <w:i/>
          <w:iCs/>
          <w:noProof/>
        </w:rPr>
        <w:t>r</w:t>
      </w:r>
      <w:r w:rsidR="00ED6AC8" w:rsidRPr="002947D9">
        <w:rPr>
          <w:rFonts w:ascii="Open Sans" w:hAnsi="Open Sans" w:cs="Open Sans"/>
          <w:i/>
          <w:iCs/>
          <w:noProof/>
        </w:rPr>
        <w:t xml:space="preserve"> i Trøndelag. Dokumentet berø</w:t>
      </w:r>
      <w:r w:rsidR="001F7EEE" w:rsidRPr="002947D9">
        <w:rPr>
          <w:rFonts w:ascii="Open Sans" w:hAnsi="Open Sans" w:cs="Open Sans"/>
          <w:i/>
          <w:iCs/>
          <w:noProof/>
        </w:rPr>
        <w:t>r</w:t>
      </w:r>
      <w:r w:rsidR="00ED6AC8" w:rsidRPr="002947D9">
        <w:rPr>
          <w:rFonts w:ascii="Open Sans" w:hAnsi="Open Sans" w:cs="Open Sans"/>
          <w:i/>
          <w:iCs/>
          <w:noProof/>
        </w:rPr>
        <w:t>er t</w:t>
      </w:r>
      <w:r w:rsidR="00BD04BB">
        <w:rPr>
          <w:rFonts w:ascii="Open Sans" w:hAnsi="Open Sans" w:cs="Open Sans"/>
          <w:i/>
          <w:iCs/>
          <w:noProof/>
        </w:rPr>
        <w:t>o</w:t>
      </w:r>
      <w:r w:rsidR="00ED6AC8" w:rsidRPr="002947D9">
        <w:rPr>
          <w:rFonts w:ascii="Open Sans" w:hAnsi="Open Sans" w:cs="Open Sans"/>
          <w:i/>
          <w:iCs/>
          <w:noProof/>
        </w:rPr>
        <w:t xml:space="preserve"> områder; prinsipper for fordeling av økonomi</w:t>
      </w:r>
      <w:r w:rsidR="00BD04BB">
        <w:rPr>
          <w:rFonts w:ascii="Open Sans" w:hAnsi="Open Sans" w:cs="Open Sans"/>
          <w:i/>
          <w:iCs/>
          <w:noProof/>
        </w:rPr>
        <w:t xml:space="preserve"> </w:t>
      </w:r>
      <w:r w:rsidR="00ED6AC8" w:rsidRPr="002947D9">
        <w:rPr>
          <w:rFonts w:ascii="Open Sans" w:hAnsi="Open Sans" w:cs="Open Sans"/>
          <w:i/>
          <w:iCs/>
          <w:noProof/>
        </w:rPr>
        <w:t>og planlagte fellestiltak for hele Trøndelag</w:t>
      </w:r>
      <w:r w:rsidR="00ED6AC8" w:rsidRPr="002947D9">
        <w:rPr>
          <w:rFonts w:ascii="Open Sans" w:hAnsi="Open Sans" w:cs="Open Sans"/>
          <w:noProof/>
        </w:rPr>
        <w:t>.</w:t>
      </w:r>
    </w:p>
    <w:p w14:paraId="7B0532FF" w14:textId="77777777" w:rsidR="00ED6AC8" w:rsidRPr="002947D9" w:rsidRDefault="00ED6AC8" w:rsidP="003D3705">
      <w:pPr>
        <w:spacing w:after="0" w:line="240" w:lineRule="auto"/>
        <w:rPr>
          <w:rFonts w:ascii="Open Sans" w:hAnsi="Open Sans" w:cs="Open Sans"/>
          <w:b/>
          <w:bCs/>
          <w:noProof/>
        </w:rPr>
      </w:pPr>
    </w:p>
    <w:p w14:paraId="355E6933" w14:textId="63449C5D" w:rsidR="00DD66AB" w:rsidRPr="002947D9" w:rsidRDefault="00ED6AC8" w:rsidP="00A065DE">
      <w:pPr>
        <w:spacing w:after="0" w:line="240" w:lineRule="auto"/>
        <w:rPr>
          <w:rFonts w:ascii="Open Sans" w:hAnsi="Open Sans" w:cs="Open Sans"/>
          <w:b/>
          <w:bCs/>
          <w:noProof/>
        </w:rPr>
      </w:pPr>
      <w:r w:rsidRPr="002947D9">
        <w:rPr>
          <w:rFonts w:ascii="Open Sans" w:hAnsi="Open Sans" w:cs="Open Sans"/>
          <w:b/>
          <w:bCs/>
          <w:noProof/>
        </w:rPr>
        <w:t>Økonomi</w:t>
      </w:r>
    </w:p>
    <w:p w14:paraId="2AD8001A" w14:textId="77777777" w:rsidR="00E35342" w:rsidRPr="00E35342" w:rsidRDefault="0041480B" w:rsidP="00E35342">
      <w:pPr>
        <w:spacing w:after="0" w:line="240" w:lineRule="auto"/>
        <w:rPr>
          <w:rFonts w:ascii="Open Sans" w:hAnsi="Open Sans" w:cs="Open Sans"/>
          <w:noProof/>
        </w:rPr>
      </w:pPr>
      <w:r w:rsidRPr="002947D9">
        <w:rPr>
          <w:rFonts w:ascii="Open Sans" w:hAnsi="Open Sans" w:cs="Open Sans"/>
          <w:noProof/>
        </w:rPr>
        <w:t xml:space="preserve">I Trøndelag har </w:t>
      </w:r>
      <w:r w:rsidR="006A6CC4">
        <w:rPr>
          <w:rFonts w:ascii="Open Sans" w:hAnsi="Open Sans" w:cs="Open Sans"/>
          <w:noProof/>
        </w:rPr>
        <w:t>samarbeidsforum</w:t>
      </w:r>
      <w:r w:rsidR="009D6B24">
        <w:rPr>
          <w:rFonts w:ascii="Open Sans" w:hAnsi="Open Sans" w:cs="Open Sans"/>
          <w:noProof/>
        </w:rPr>
        <w:t xml:space="preserve"> for Dekom</w:t>
      </w:r>
      <w:r w:rsidR="006A6CC4">
        <w:rPr>
          <w:rFonts w:ascii="Open Sans" w:hAnsi="Open Sans" w:cs="Open Sans"/>
          <w:noProof/>
        </w:rPr>
        <w:t xml:space="preserve"> vedtatt </w:t>
      </w:r>
      <w:r w:rsidRPr="002947D9">
        <w:rPr>
          <w:rFonts w:ascii="Open Sans" w:hAnsi="Open Sans" w:cs="Open Sans"/>
          <w:noProof/>
        </w:rPr>
        <w:t>pro rata-tildeling</w:t>
      </w:r>
      <w:r w:rsidR="00EC31CD" w:rsidRPr="002947D9">
        <w:rPr>
          <w:rFonts w:ascii="Open Sans" w:hAnsi="Open Sans" w:cs="Open Sans"/>
          <w:noProof/>
        </w:rPr>
        <w:t xml:space="preserve"> til kompetansenettverkene. S</w:t>
      </w:r>
      <w:r w:rsidRPr="002947D9">
        <w:rPr>
          <w:rFonts w:ascii="Open Sans" w:hAnsi="Open Sans" w:cs="Open Sans"/>
          <w:noProof/>
        </w:rPr>
        <w:t xml:space="preserve">amarbeidsforum </w:t>
      </w:r>
      <w:r w:rsidR="00D30F25" w:rsidRPr="002947D9">
        <w:rPr>
          <w:rFonts w:ascii="Open Sans" w:hAnsi="Open Sans" w:cs="Open Sans"/>
          <w:noProof/>
        </w:rPr>
        <w:t xml:space="preserve">har </w:t>
      </w:r>
      <w:r w:rsidR="00EC31CD" w:rsidRPr="002947D9">
        <w:rPr>
          <w:rFonts w:ascii="Open Sans" w:hAnsi="Open Sans" w:cs="Open Sans"/>
          <w:noProof/>
        </w:rPr>
        <w:t>beslutte</w:t>
      </w:r>
      <w:r w:rsidR="00D30F25" w:rsidRPr="002947D9">
        <w:rPr>
          <w:rFonts w:ascii="Open Sans" w:hAnsi="Open Sans" w:cs="Open Sans"/>
          <w:noProof/>
        </w:rPr>
        <w:t>t</w:t>
      </w:r>
      <w:r w:rsidR="00EC31CD" w:rsidRPr="002947D9">
        <w:rPr>
          <w:rFonts w:ascii="Open Sans" w:hAnsi="Open Sans" w:cs="Open Sans"/>
          <w:noProof/>
        </w:rPr>
        <w:t xml:space="preserve"> </w:t>
      </w:r>
      <w:r w:rsidRPr="002947D9">
        <w:rPr>
          <w:rFonts w:ascii="Open Sans" w:hAnsi="Open Sans" w:cs="Open Sans"/>
          <w:noProof/>
        </w:rPr>
        <w:t>en fordelingsnøkkel basert på de 11 nettverkenes lærerårsverk</w:t>
      </w:r>
      <w:r w:rsidR="00EC31CD" w:rsidRPr="002947D9">
        <w:rPr>
          <w:rFonts w:ascii="Open Sans" w:hAnsi="Open Sans" w:cs="Open Sans"/>
          <w:noProof/>
        </w:rPr>
        <w:t xml:space="preserve">, samt  et grunntilskudd som gir en </w:t>
      </w:r>
      <w:r w:rsidR="00D30F25" w:rsidRPr="002947D9">
        <w:rPr>
          <w:rFonts w:ascii="Open Sans" w:hAnsi="Open Sans" w:cs="Open Sans"/>
          <w:noProof/>
        </w:rPr>
        <w:t xml:space="preserve">rimelig </w:t>
      </w:r>
      <w:r w:rsidR="00EC31CD" w:rsidRPr="002947D9">
        <w:rPr>
          <w:rFonts w:ascii="Open Sans" w:hAnsi="Open Sans" w:cs="Open Sans"/>
          <w:noProof/>
        </w:rPr>
        <w:t>fordeli</w:t>
      </w:r>
      <w:r w:rsidR="00D30F25" w:rsidRPr="002947D9">
        <w:rPr>
          <w:rFonts w:ascii="Open Sans" w:hAnsi="Open Sans" w:cs="Open Sans"/>
          <w:noProof/>
        </w:rPr>
        <w:t>n</w:t>
      </w:r>
      <w:r w:rsidR="00EC31CD" w:rsidRPr="002947D9">
        <w:rPr>
          <w:rFonts w:ascii="Open Sans" w:hAnsi="Open Sans" w:cs="Open Sans"/>
          <w:noProof/>
        </w:rPr>
        <w:t>g</w:t>
      </w:r>
      <w:r w:rsidRPr="002947D9">
        <w:rPr>
          <w:rFonts w:ascii="Open Sans" w:hAnsi="Open Sans" w:cs="Open Sans"/>
          <w:noProof/>
        </w:rPr>
        <w:t xml:space="preserve">. </w:t>
      </w:r>
      <w:r w:rsidR="00D30F25" w:rsidRPr="002947D9">
        <w:rPr>
          <w:rFonts w:ascii="Open Sans" w:hAnsi="Open Sans" w:cs="Open Sans"/>
          <w:noProof/>
        </w:rPr>
        <w:t xml:space="preserve">Når kompetansenettverkene leverer beslutningsgrunnlaget sitt, skal de forholde seg til den forhåndstildelte rammen. </w:t>
      </w:r>
      <w:r w:rsidRPr="002947D9">
        <w:rPr>
          <w:rFonts w:ascii="Open Sans" w:hAnsi="Open Sans" w:cs="Open Sans"/>
          <w:noProof/>
        </w:rPr>
        <w:t xml:space="preserve">I tillegg har samarbeidsforum besluttet å tildele midler til fellestiltak som alle nettverk får ta del i. </w:t>
      </w:r>
      <w:r w:rsidR="002D1CF6">
        <w:rPr>
          <w:rFonts w:ascii="Open Sans" w:hAnsi="Open Sans" w:cs="Open Sans"/>
          <w:noProof/>
        </w:rPr>
        <w:br/>
      </w:r>
      <w:r w:rsidR="002D1CF6">
        <w:rPr>
          <w:rFonts w:ascii="Open Sans" w:hAnsi="Open Sans" w:cs="Open Sans"/>
          <w:noProof/>
        </w:rPr>
        <w:br/>
      </w:r>
      <w:r w:rsidR="00134E1D" w:rsidRPr="00134E1D">
        <w:rPr>
          <w:rFonts w:ascii="Open Sans" w:hAnsi="Open Sans" w:cs="Open Sans"/>
          <w:noProof/>
          <w:u w:val="single"/>
        </w:rPr>
        <w:t>Årlige tildelinger</w:t>
      </w:r>
      <w:r w:rsidR="00134E1D">
        <w:rPr>
          <w:rFonts w:ascii="Open Sans" w:hAnsi="Open Sans" w:cs="Open Sans"/>
          <w:noProof/>
        </w:rPr>
        <w:br/>
      </w:r>
      <w:r w:rsidR="00E35342" w:rsidRPr="00E35342">
        <w:rPr>
          <w:rFonts w:ascii="Open Sans" w:hAnsi="Open Sans" w:cs="Open Sans"/>
          <w:noProof/>
        </w:rPr>
        <w:t>Det settes av kr 300 000 til møter og samlinger som knyttes til Dekom.</w:t>
      </w:r>
    </w:p>
    <w:p w14:paraId="700424C0" w14:textId="3B88BC70" w:rsidR="0041480B" w:rsidRPr="002947D9" w:rsidRDefault="00E35342" w:rsidP="00E35342">
      <w:pPr>
        <w:spacing w:after="0" w:line="240" w:lineRule="auto"/>
        <w:rPr>
          <w:rFonts w:ascii="Open Sans" w:hAnsi="Open Sans" w:cs="Open Sans"/>
          <w:noProof/>
        </w:rPr>
      </w:pPr>
      <w:r w:rsidRPr="00E35342">
        <w:rPr>
          <w:rFonts w:ascii="Open Sans" w:hAnsi="Open Sans" w:cs="Open Sans"/>
          <w:noProof/>
        </w:rPr>
        <w:br/>
        <w:t>Det settes av kr 150 000 til (årlige) webinarer i fag som har lokalt gitt eksamen (målgruppen er lærere på ungsdomstrinnet). Temaet for webinarene er oppgaveutvikling og vurdering av kompetanse som blir framvist muntlig eller muntlig og praktisk. For- og etterarbeid skal bidra til at tiltaket blir skolebasert.</w:t>
      </w:r>
    </w:p>
    <w:p w14:paraId="45024B70" w14:textId="0414D58B" w:rsidR="001E08F9" w:rsidRPr="002947D9" w:rsidRDefault="001E08F9" w:rsidP="003D3705">
      <w:pPr>
        <w:spacing w:after="0" w:line="240" w:lineRule="auto"/>
        <w:rPr>
          <w:rFonts w:ascii="Open Sans" w:hAnsi="Open Sans" w:cs="Open Sans"/>
          <w:noProof/>
        </w:rPr>
      </w:pPr>
    </w:p>
    <w:p w14:paraId="2253B3DE" w14:textId="52589544" w:rsidR="00ED6AC8" w:rsidRPr="00500E76" w:rsidRDefault="00763F21" w:rsidP="003D3705">
      <w:pPr>
        <w:spacing w:after="0" w:line="240" w:lineRule="auto"/>
        <w:rPr>
          <w:rFonts w:ascii="Open Sans" w:hAnsi="Open Sans" w:cs="Open Sans"/>
          <w:noProof/>
        </w:rPr>
      </w:pPr>
      <w:r>
        <w:rPr>
          <w:rFonts w:ascii="Open Sans" w:hAnsi="Open Sans" w:cs="Open Sans"/>
          <w:noProof/>
        </w:rPr>
        <w:t>Kompetansetiltak innenfor o</w:t>
      </w:r>
      <w:r w:rsidR="001E08F9" w:rsidRPr="002947D9">
        <w:rPr>
          <w:rFonts w:ascii="Open Sans" w:hAnsi="Open Sans" w:cs="Open Sans"/>
          <w:noProof/>
        </w:rPr>
        <w:t>rdningene skal ses i sammenheng</w:t>
      </w:r>
      <w:r w:rsidR="00D30F25" w:rsidRPr="002947D9">
        <w:rPr>
          <w:rFonts w:ascii="Open Sans" w:hAnsi="Open Sans" w:cs="Open Sans"/>
          <w:noProof/>
        </w:rPr>
        <w:t>.</w:t>
      </w:r>
      <w:r w:rsidR="001E08F9" w:rsidRPr="002947D9">
        <w:rPr>
          <w:rFonts w:ascii="Open Sans" w:hAnsi="Open Sans" w:cs="Open Sans"/>
          <w:noProof/>
        </w:rPr>
        <w:t xml:space="preserve"> </w:t>
      </w:r>
      <w:r w:rsidR="00D30F25" w:rsidRPr="002947D9">
        <w:rPr>
          <w:rFonts w:ascii="Open Sans" w:hAnsi="Open Sans" w:cs="Open Sans"/>
          <w:noProof/>
        </w:rPr>
        <w:t xml:space="preserve">Det er </w:t>
      </w:r>
      <w:r w:rsidR="00705A77">
        <w:rPr>
          <w:rFonts w:ascii="Open Sans" w:hAnsi="Open Sans" w:cs="Open Sans"/>
          <w:noProof/>
        </w:rPr>
        <w:t xml:space="preserve">derfor anledning til </w:t>
      </w:r>
      <w:r w:rsidR="001E08F9" w:rsidRPr="002947D9">
        <w:rPr>
          <w:rFonts w:ascii="Open Sans" w:hAnsi="Open Sans" w:cs="Open Sans"/>
          <w:noProof/>
        </w:rPr>
        <w:t xml:space="preserve">å disponere midler </w:t>
      </w:r>
      <w:r w:rsidR="0009403E" w:rsidRPr="002947D9">
        <w:rPr>
          <w:rFonts w:ascii="Open Sans" w:hAnsi="Open Sans" w:cs="Open Sans"/>
          <w:noProof/>
        </w:rPr>
        <w:t>innenfor Dekom til tiltak innenfor Kompetanseløftet</w:t>
      </w:r>
      <w:r w:rsidR="000C29E8">
        <w:rPr>
          <w:rFonts w:ascii="Open Sans" w:hAnsi="Open Sans" w:cs="Open Sans"/>
          <w:noProof/>
        </w:rPr>
        <w:t xml:space="preserve">. Det er imidlertid ikke </w:t>
      </w:r>
      <w:r>
        <w:rPr>
          <w:rFonts w:ascii="Open Sans" w:hAnsi="Open Sans" w:cs="Open Sans"/>
          <w:noProof/>
        </w:rPr>
        <w:t>anlednin</w:t>
      </w:r>
      <w:r w:rsidR="00705A77">
        <w:rPr>
          <w:rFonts w:ascii="Open Sans" w:hAnsi="Open Sans" w:cs="Open Sans"/>
          <w:noProof/>
        </w:rPr>
        <w:t>g</w:t>
      </w:r>
      <w:r>
        <w:rPr>
          <w:rFonts w:ascii="Open Sans" w:hAnsi="Open Sans" w:cs="Open Sans"/>
          <w:noProof/>
        </w:rPr>
        <w:t xml:space="preserve"> til </w:t>
      </w:r>
      <w:r w:rsidR="000C29E8">
        <w:rPr>
          <w:rFonts w:ascii="Open Sans" w:hAnsi="Open Sans" w:cs="Open Sans"/>
          <w:noProof/>
        </w:rPr>
        <w:t xml:space="preserve"> å disponere midler fra Kompetanseløftet til Dekom-tiltak.</w:t>
      </w:r>
      <w:r w:rsidR="009D6B24">
        <w:rPr>
          <w:rFonts w:ascii="Open Sans" w:hAnsi="Open Sans" w:cs="Open Sans"/>
          <w:noProof/>
        </w:rPr>
        <w:br/>
      </w:r>
    </w:p>
    <w:p w14:paraId="706B337D" w14:textId="77777777" w:rsidR="00E9463E" w:rsidRPr="00500E76" w:rsidRDefault="00E9463E" w:rsidP="00E9463E">
      <w:pPr>
        <w:spacing w:after="0" w:line="240" w:lineRule="auto"/>
        <w:rPr>
          <w:rFonts w:ascii="Open Sans" w:hAnsi="Open Sans" w:cs="Open Sans"/>
          <w:noProof/>
        </w:rPr>
      </w:pPr>
      <w:r w:rsidRPr="00500E76">
        <w:rPr>
          <w:rFonts w:ascii="Open Sans" w:hAnsi="Open Sans" w:cs="Open Sans"/>
          <w:noProof/>
        </w:rPr>
        <w:t>For at kompetansenettverkene og UH skal få utbetalt midler, må beslutningsgrunnlagene være innenfor kriteriene og kompetanseløftets intensjoner:</w:t>
      </w:r>
    </w:p>
    <w:p w14:paraId="5BA336FF" w14:textId="77777777" w:rsidR="00E9463E" w:rsidRPr="00500E76" w:rsidRDefault="00E9463E" w:rsidP="00E9463E">
      <w:pPr>
        <w:spacing w:after="0" w:line="240" w:lineRule="auto"/>
        <w:rPr>
          <w:rFonts w:ascii="Open Sans" w:hAnsi="Open Sans" w:cs="Open Sans"/>
          <w:noProof/>
        </w:rPr>
      </w:pPr>
    </w:p>
    <w:p w14:paraId="1F81C6C1" w14:textId="77777777" w:rsidR="00E9463E" w:rsidRPr="00500E76" w:rsidRDefault="00E9463E" w:rsidP="00E9463E">
      <w:pPr>
        <w:numPr>
          <w:ilvl w:val="0"/>
          <w:numId w:val="10"/>
        </w:numPr>
        <w:spacing w:after="0" w:line="240" w:lineRule="auto"/>
        <w:rPr>
          <w:rFonts w:ascii="Open Sans" w:hAnsi="Open Sans" w:cs="Open Sans"/>
          <w:noProof/>
        </w:rPr>
      </w:pPr>
      <w:r w:rsidRPr="00500E76">
        <w:rPr>
          <w:rFonts w:ascii="Open Sans" w:hAnsi="Open Sans" w:cs="Open Sans"/>
          <w:noProof/>
        </w:rPr>
        <w:t>Kompetansetiltakene skal møte lokalt definerte behov. Behovsbeskrivelsene skal være basert på vurderinger i barnehager, skoler og PP-tjenester, og på faglig dialog med UH. Vurderingene av behov for kompetanseutvikling skal forankres i den enkelte virksomhet på en måte som involverer ansatte og ledere.</w:t>
      </w:r>
    </w:p>
    <w:p w14:paraId="50B2A617" w14:textId="77777777" w:rsidR="00E9463E" w:rsidRPr="00500E76" w:rsidRDefault="00E9463E" w:rsidP="00E9463E">
      <w:pPr>
        <w:numPr>
          <w:ilvl w:val="0"/>
          <w:numId w:val="10"/>
        </w:numPr>
        <w:spacing w:after="0" w:line="240" w:lineRule="auto"/>
        <w:rPr>
          <w:rFonts w:ascii="Open Sans" w:hAnsi="Open Sans" w:cs="Open Sans"/>
          <w:noProof/>
        </w:rPr>
      </w:pPr>
      <w:r w:rsidRPr="00500E76">
        <w:rPr>
          <w:rFonts w:ascii="Open Sans" w:hAnsi="Open Sans" w:cs="Open Sans"/>
          <w:noProof/>
        </w:rPr>
        <w:t>Midlene skal brukes til arbeidsplassbasert kompetanseutvikling. Tiltakene skal fremme kollektive prosesser for profesjonsutvikling som bidrar til praksisforbedring.</w:t>
      </w:r>
    </w:p>
    <w:p w14:paraId="709AA13C" w14:textId="77777777" w:rsidR="00E9463E" w:rsidRPr="00500E76" w:rsidRDefault="00E9463E" w:rsidP="00E9463E">
      <w:pPr>
        <w:numPr>
          <w:ilvl w:val="0"/>
          <w:numId w:val="10"/>
        </w:numPr>
        <w:spacing w:after="0" w:line="240" w:lineRule="auto"/>
        <w:rPr>
          <w:rFonts w:ascii="Open Sans" w:hAnsi="Open Sans" w:cs="Open Sans"/>
          <w:noProof/>
        </w:rPr>
      </w:pPr>
      <w:r w:rsidRPr="00500E76">
        <w:rPr>
          <w:rFonts w:ascii="Open Sans" w:hAnsi="Open Sans" w:cs="Open Sans"/>
          <w:noProof/>
        </w:rPr>
        <w:t xml:space="preserve">Tiltakene skal gjennomføres i partnerskap mellom kompetansenettverkene/eierne og UH. Eiere og UH skal samarbeide om å vurdere kompetansebehovene, planlegge og gjennomføre tiltak i barnehager og skoler. </w:t>
      </w:r>
    </w:p>
    <w:p w14:paraId="69E5AC83" w14:textId="77777777" w:rsidR="00E9463E" w:rsidRPr="00500E76" w:rsidRDefault="00E9463E" w:rsidP="001115BA">
      <w:pPr>
        <w:spacing w:after="0" w:line="240" w:lineRule="auto"/>
        <w:rPr>
          <w:rFonts w:ascii="Open Sans" w:hAnsi="Open Sans" w:cs="Open Sans"/>
          <w:b/>
          <w:bCs/>
          <w:noProof/>
        </w:rPr>
      </w:pPr>
    </w:p>
    <w:p w14:paraId="4C8C07BD" w14:textId="45B272AA" w:rsidR="003D3705" w:rsidRPr="002947D9" w:rsidRDefault="00D30F25" w:rsidP="001115BA">
      <w:pPr>
        <w:spacing w:after="0" w:line="240" w:lineRule="auto"/>
        <w:rPr>
          <w:rFonts w:ascii="Open Sans" w:hAnsi="Open Sans" w:cs="Open Sans"/>
          <w:noProof/>
        </w:rPr>
      </w:pPr>
      <w:r w:rsidRPr="002947D9">
        <w:rPr>
          <w:rFonts w:ascii="Open Sans" w:hAnsi="Open Sans" w:cs="Open Sans"/>
          <w:b/>
          <w:bCs/>
          <w:noProof/>
        </w:rPr>
        <w:lastRenderedPageBreak/>
        <w:t>F</w:t>
      </w:r>
      <w:r w:rsidR="003D3705" w:rsidRPr="002947D9">
        <w:rPr>
          <w:rFonts w:ascii="Open Sans" w:hAnsi="Open Sans" w:cs="Open Sans"/>
          <w:b/>
          <w:bCs/>
          <w:noProof/>
        </w:rPr>
        <w:t xml:space="preserve">ellestiltak </w:t>
      </w:r>
      <w:r w:rsidRPr="002947D9">
        <w:rPr>
          <w:rFonts w:ascii="Open Sans" w:hAnsi="Open Sans" w:cs="Open Sans"/>
          <w:b/>
          <w:bCs/>
          <w:noProof/>
        </w:rPr>
        <w:t>i</w:t>
      </w:r>
      <w:r w:rsidR="003D3705" w:rsidRPr="002947D9">
        <w:rPr>
          <w:rFonts w:ascii="Open Sans" w:hAnsi="Open Sans" w:cs="Open Sans"/>
          <w:b/>
          <w:bCs/>
          <w:noProof/>
        </w:rPr>
        <w:t xml:space="preserve"> Trøndelag</w:t>
      </w:r>
      <w:r w:rsidR="001115BA" w:rsidRPr="002947D9">
        <w:rPr>
          <w:rFonts w:ascii="Open Sans" w:hAnsi="Open Sans" w:cs="Open Sans"/>
          <w:b/>
          <w:bCs/>
          <w:noProof/>
        </w:rPr>
        <w:br/>
      </w:r>
      <w:r w:rsidR="0013097D">
        <w:rPr>
          <w:rFonts w:ascii="Open Sans" w:hAnsi="Open Sans" w:cs="Open Sans"/>
          <w:noProof/>
        </w:rPr>
        <w:t xml:space="preserve">Mange nettverk har samme utfordringsbilde. </w:t>
      </w:r>
      <w:r w:rsidR="003D3705" w:rsidRPr="002947D9">
        <w:rPr>
          <w:rFonts w:ascii="Open Sans" w:hAnsi="Open Sans" w:cs="Open Sans"/>
          <w:noProof/>
        </w:rPr>
        <w:t>Samarbeidsforum har</w:t>
      </w:r>
      <w:r w:rsidR="0013097D">
        <w:rPr>
          <w:rFonts w:ascii="Open Sans" w:hAnsi="Open Sans" w:cs="Open Sans"/>
          <w:noProof/>
        </w:rPr>
        <w:t xml:space="preserve"> </w:t>
      </w:r>
      <w:r w:rsidR="00BD04BB">
        <w:rPr>
          <w:rFonts w:ascii="Open Sans" w:hAnsi="Open Sans" w:cs="Open Sans"/>
          <w:noProof/>
        </w:rPr>
        <w:t xml:space="preserve">med bakgrunn i dette, </w:t>
      </w:r>
      <w:r w:rsidR="003D3705" w:rsidRPr="002947D9">
        <w:rPr>
          <w:rFonts w:ascii="Open Sans" w:hAnsi="Open Sans" w:cs="Open Sans"/>
          <w:noProof/>
        </w:rPr>
        <w:t>planlagt</w:t>
      </w:r>
      <w:r w:rsidR="0013097D">
        <w:rPr>
          <w:rFonts w:ascii="Open Sans" w:hAnsi="Open Sans" w:cs="Open Sans"/>
          <w:noProof/>
        </w:rPr>
        <w:t xml:space="preserve"> og utviklet</w:t>
      </w:r>
      <w:r w:rsidR="003D3705" w:rsidRPr="002947D9">
        <w:rPr>
          <w:rFonts w:ascii="Open Sans" w:hAnsi="Open Sans" w:cs="Open Sans"/>
          <w:noProof/>
        </w:rPr>
        <w:t xml:space="preserve"> langsiktige fellestiltak</w:t>
      </w:r>
      <w:r w:rsidR="00BD04BB">
        <w:rPr>
          <w:rFonts w:ascii="Open Sans" w:hAnsi="Open Sans" w:cs="Open Sans"/>
          <w:noProof/>
        </w:rPr>
        <w:t xml:space="preserve"> i samarbeid med kompetansenettverkene og universitet</w:t>
      </w:r>
      <w:r w:rsidR="00CE34C9">
        <w:rPr>
          <w:rFonts w:ascii="Open Sans" w:hAnsi="Open Sans" w:cs="Open Sans"/>
          <w:noProof/>
        </w:rPr>
        <w:t xml:space="preserve"> (UH).</w:t>
      </w:r>
      <w:r w:rsidR="003D3705" w:rsidRPr="002947D9">
        <w:rPr>
          <w:rFonts w:ascii="Open Sans" w:hAnsi="Open Sans" w:cs="Open Sans"/>
          <w:noProof/>
        </w:rPr>
        <w:t xml:space="preserve"> Vedlegg 1</w:t>
      </w:r>
      <w:r w:rsidR="00CE34C9">
        <w:rPr>
          <w:rFonts w:ascii="Open Sans" w:hAnsi="Open Sans" w:cs="Open Sans"/>
          <w:noProof/>
        </w:rPr>
        <w:t xml:space="preserve"> og </w:t>
      </w:r>
      <w:r w:rsidR="003D3705" w:rsidRPr="002947D9">
        <w:rPr>
          <w:rFonts w:ascii="Open Sans" w:hAnsi="Open Sans" w:cs="Open Sans"/>
          <w:noProof/>
        </w:rPr>
        <w:t>2 beskriver de t</w:t>
      </w:r>
      <w:r w:rsidR="00CE34C9">
        <w:rPr>
          <w:rFonts w:ascii="Open Sans" w:hAnsi="Open Sans" w:cs="Open Sans"/>
          <w:noProof/>
        </w:rPr>
        <w:t>o</w:t>
      </w:r>
      <w:r w:rsidR="003D3705" w:rsidRPr="002947D9">
        <w:rPr>
          <w:rFonts w:ascii="Open Sans" w:hAnsi="Open Sans" w:cs="Open Sans"/>
          <w:noProof/>
        </w:rPr>
        <w:t xml:space="preserve"> fellestiltakene</w:t>
      </w:r>
      <w:r w:rsidR="00CE34C9">
        <w:rPr>
          <w:rFonts w:ascii="Open Sans" w:hAnsi="Open Sans" w:cs="Open Sans"/>
          <w:noProof/>
        </w:rPr>
        <w:t>.</w:t>
      </w:r>
      <w:r w:rsidR="003D3705" w:rsidRPr="002947D9">
        <w:rPr>
          <w:rFonts w:ascii="Open Sans" w:hAnsi="Open Sans" w:cs="Open Sans"/>
          <w:noProof/>
        </w:rPr>
        <w:t xml:space="preserve"> Tabellen under viser varigheten på de ulike tiltakene</w:t>
      </w:r>
      <w:r w:rsidR="002E1E3A">
        <w:rPr>
          <w:rFonts w:ascii="Open Sans" w:hAnsi="Open Sans" w:cs="Open Sans"/>
          <w:noProof/>
        </w:rPr>
        <w:t xml:space="preserve">. Evalueringer underveis kan medføre justeringer, både </w:t>
      </w:r>
      <w:r w:rsidR="006C41F8">
        <w:rPr>
          <w:rFonts w:ascii="Open Sans" w:hAnsi="Open Sans" w:cs="Open Sans"/>
          <w:noProof/>
        </w:rPr>
        <w:t xml:space="preserve">med hensyn til innhold og </w:t>
      </w:r>
      <w:r w:rsidR="002E1E3A">
        <w:rPr>
          <w:rFonts w:ascii="Open Sans" w:hAnsi="Open Sans" w:cs="Open Sans"/>
          <w:noProof/>
        </w:rPr>
        <w:t>varighet</w:t>
      </w:r>
      <w:r w:rsidR="006C41F8">
        <w:rPr>
          <w:rFonts w:ascii="Open Sans" w:hAnsi="Open Sans" w:cs="Open Sans"/>
          <w:noProof/>
        </w:rPr>
        <w:t>.</w:t>
      </w:r>
    </w:p>
    <w:p w14:paraId="18ABD847" w14:textId="77777777" w:rsidR="00DD66AB" w:rsidRPr="002947D9" w:rsidRDefault="00DD66AB" w:rsidP="003D3705">
      <w:pPr>
        <w:spacing w:after="0" w:line="240" w:lineRule="auto"/>
        <w:rPr>
          <w:rFonts w:ascii="Open Sans" w:hAnsi="Open Sans" w:cs="Open Sans"/>
          <w:noProof/>
        </w:rPr>
      </w:pPr>
    </w:p>
    <w:tbl>
      <w:tblPr>
        <w:tblStyle w:val="Tabellrutenett"/>
        <w:tblW w:w="0" w:type="auto"/>
        <w:tblLook w:val="04A0" w:firstRow="1" w:lastRow="0" w:firstColumn="1" w:lastColumn="0" w:noHBand="0" w:noVBand="1"/>
      </w:tblPr>
      <w:tblGrid>
        <w:gridCol w:w="4531"/>
        <w:gridCol w:w="906"/>
        <w:gridCol w:w="906"/>
        <w:gridCol w:w="906"/>
        <w:gridCol w:w="906"/>
        <w:gridCol w:w="907"/>
      </w:tblGrid>
      <w:tr w:rsidR="002E1E3A" w:rsidRPr="002947D9" w14:paraId="5C0F6D4E" w14:textId="3EEAB383" w:rsidTr="00694DF7">
        <w:tc>
          <w:tcPr>
            <w:tcW w:w="4531" w:type="dxa"/>
          </w:tcPr>
          <w:p w14:paraId="3311C12B" w14:textId="77777777" w:rsidR="002E1E3A" w:rsidRPr="002947D9" w:rsidRDefault="002E1E3A" w:rsidP="00AD7ECD">
            <w:pPr>
              <w:rPr>
                <w:rFonts w:ascii="Open Sans" w:hAnsi="Open Sans" w:cs="Open Sans"/>
              </w:rPr>
            </w:pPr>
            <w:r w:rsidRPr="002947D9">
              <w:rPr>
                <w:rFonts w:ascii="Open Sans" w:hAnsi="Open Sans" w:cs="Open Sans"/>
              </w:rPr>
              <w:t>Fellestiltak</w:t>
            </w:r>
          </w:p>
        </w:tc>
        <w:tc>
          <w:tcPr>
            <w:tcW w:w="906" w:type="dxa"/>
          </w:tcPr>
          <w:p w14:paraId="4B2C4A7D" w14:textId="6754ED72" w:rsidR="002E1E3A" w:rsidRPr="00694DF7" w:rsidRDefault="002E1E3A" w:rsidP="00CE34C9">
            <w:pPr>
              <w:jc w:val="center"/>
              <w:rPr>
                <w:rFonts w:ascii="Open Sans" w:hAnsi="Open Sans" w:cs="Open Sans"/>
              </w:rPr>
            </w:pPr>
            <w:r w:rsidRPr="00694DF7">
              <w:rPr>
                <w:rFonts w:ascii="Open Sans" w:hAnsi="Open Sans" w:cs="Open Sans"/>
              </w:rPr>
              <w:t>20/21</w:t>
            </w:r>
          </w:p>
        </w:tc>
        <w:tc>
          <w:tcPr>
            <w:tcW w:w="906" w:type="dxa"/>
          </w:tcPr>
          <w:p w14:paraId="7D327C44" w14:textId="40262673" w:rsidR="002E1E3A" w:rsidRPr="00694DF7" w:rsidRDefault="002E1E3A" w:rsidP="00CE34C9">
            <w:pPr>
              <w:jc w:val="center"/>
              <w:rPr>
                <w:rFonts w:ascii="Open Sans" w:hAnsi="Open Sans" w:cs="Open Sans"/>
              </w:rPr>
            </w:pPr>
            <w:r w:rsidRPr="00694DF7">
              <w:rPr>
                <w:rFonts w:ascii="Open Sans" w:hAnsi="Open Sans" w:cs="Open Sans"/>
              </w:rPr>
              <w:t>21/22</w:t>
            </w:r>
          </w:p>
        </w:tc>
        <w:tc>
          <w:tcPr>
            <w:tcW w:w="906" w:type="dxa"/>
          </w:tcPr>
          <w:p w14:paraId="14D63B43" w14:textId="129DE32B" w:rsidR="002E1E3A" w:rsidRPr="00694DF7" w:rsidRDefault="002E1E3A" w:rsidP="00CE34C9">
            <w:pPr>
              <w:jc w:val="center"/>
              <w:rPr>
                <w:rFonts w:ascii="Open Sans" w:hAnsi="Open Sans" w:cs="Open Sans"/>
              </w:rPr>
            </w:pPr>
            <w:r w:rsidRPr="00694DF7">
              <w:rPr>
                <w:rFonts w:ascii="Open Sans" w:hAnsi="Open Sans" w:cs="Open Sans"/>
              </w:rPr>
              <w:t>22/23</w:t>
            </w:r>
          </w:p>
        </w:tc>
        <w:tc>
          <w:tcPr>
            <w:tcW w:w="906" w:type="dxa"/>
          </w:tcPr>
          <w:p w14:paraId="79AC24DF" w14:textId="4E20B6D8" w:rsidR="002E1E3A" w:rsidRPr="00694DF7" w:rsidRDefault="002E1E3A" w:rsidP="00CE34C9">
            <w:pPr>
              <w:jc w:val="center"/>
              <w:rPr>
                <w:rFonts w:ascii="Open Sans" w:hAnsi="Open Sans" w:cs="Open Sans"/>
              </w:rPr>
            </w:pPr>
            <w:r w:rsidRPr="00694DF7">
              <w:rPr>
                <w:rFonts w:ascii="Open Sans" w:hAnsi="Open Sans" w:cs="Open Sans"/>
              </w:rPr>
              <w:t>23/24</w:t>
            </w:r>
          </w:p>
        </w:tc>
        <w:tc>
          <w:tcPr>
            <w:tcW w:w="907" w:type="dxa"/>
          </w:tcPr>
          <w:p w14:paraId="4CF5844D" w14:textId="2188B4A3" w:rsidR="002E1E3A" w:rsidRPr="00694DF7" w:rsidRDefault="002E1E3A" w:rsidP="00CE34C9">
            <w:pPr>
              <w:jc w:val="center"/>
              <w:rPr>
                <w:rFonts w:ascii="Open Sans" w:hAnsi="Open Sans" w:cs="Open Sans"/>
              </w:rPr>
            </w:pPr>
            <w:r w:rsidRPr="00694DF7">
              <w:rPr>
                <w:rFonts w:ascii="Open Sans" w:hAnsi="Open Sans" w:cs="Open Sans"/>
              </w:rPr>
              <w:t>24/25</w:t>
            </w:r>
          </w:p>
        </w:tc>
      </w:tr>
      <w:tr w:rsidR="002E1E3A" w:rsidRPr="002947D9" w14:paraId="43E6BFC7" w14:textId="01E16467" w:rsidTr="00694DF7">
        <w:tc>
          <w:tcPr>
            <w:tcW w:w="4531" w:type="dxa"/>
            <w:shd w:val="clear" w:color="auto" w:fill="E2EFD9" w:themeFill="accent6" w:themeFillTint="33"/>
          </w:tcPr>
          <w:p w14:paraId="56E1318F" w14:textId="77777777" w:rsidR="002E1E3A" w:rsidRPr="002947D9" w:rsidRDefault="002E1E3A" w:rsidP="00AD7ECD">
            <w:pPr>
              <w:rPr>
                <w:rFonts w:ascii="Open Sans" w:hAnsi="Open Sans" w:cs="Open Sans"/>
              </w:rPr>
            </w:pPr>
            <w:r w:rsidRPr="002947D9">
              <w:rPr>
                <w:rFonts w:ascii="Open Sans" w:hAnsi="Open Sans" w:cs="Open Sans"/>
              </w:rPr>
              <w:t>Begynneropplæringstiltaket</w:t>
            </w:r>
          </w:p>
        </w:tc>
        <w:tc>
          <w:tcPr>
            <w:tcW w:w="906" w:type="dxa"/>
            <w:shd w:val="clear" w:color="auto" w:fill="E2EFD9" w:themeFill="accent6" w:themeFillTint="33"/>
          </w:tcPr>
          <w:p w14:paraId="18372E31" w14:textId="77777777" w:rsidR="002E1E3A" w:rsidRPr="002947D9" w:rsidRDefault="002E1E3A" w:rsidP="00AD7ECD">
            <w:pPr>
              <w:rPr>
                <w:rFonts w:ascii="Open Sans" w:hAnsi="Open Sans" w:cs="Open Sans"/>
              </w:rPr>
            </w:pPr>
          </w:p>
        </w:tc>
        <w:tc>
          <w:tcPr>
            <w:tcW w:w="906" w:type="dxa"/>
            <w:shd w:val="clear" w:color="auto" w:fill="E2EFD9" w:themeFill="accent6" w:themeFillTint="33"/>
          </w:tcPr>
          <w:p w14:paraId="17F3CF37" w14:textId="77777777" w:rsidR="002E1E3A" w:rsidRPr="002947D9" w:rsidRDefault="002E1E3A" w:rsidP="00AD7ECD">
            <w:pPr>
              <w:rPr>
                <w:rFonts w:ascii="Open Sans" w:hAnsi="Open Sans" w:cs="Open Sans"/>
              </w:rPr>
            </w:pPr>
          </w:p>
        </w:tc>
        <w:tc>
          <w:tcPr>
            <w:tcW w:w="906" w:type="dxa"/>
            <w:shd w:val="clear" w:color="auto" w:fill="E2EFD9" w:themeFill="accent6" w:themeFillTint="33"/>
          </w:tcPr>
          <w:p w14:paraId="7F613A68" w14:textId="77777777" w:rsidR="002E1E3A" w:rsidRPr="002947D9" w:rsidRDefault="002E1E3A" w:rsidP="00AD7ECD">
            <w:pPr>
              <w:rPr>
                <w:rFonts w:ascii="Open Sans" w:hAnsi="Open Sans" w:cs="Open Sans"/>
              </w:rPr>
            </w:pPr>
          </w:p>
        </w:tc>
        <w:tc>
          <w:tcPr>
            <w:tcW w:w="906" w:type="dxa"/>
            <w:shd w:val="clear" w:color="auto" w:fill="E2EFD9" w:themeFill="accent6" w:themeFillTint="33"/>
          </w:tcPr>
          <w:p w14:paraId="500AA848" w14:textId="77777777" w:rsidR="002E1E3A" w:rsidRPr="002947D9" w:rsidRDefault="002E1E3A" w:rsidP="00AD7ECD">
            <w:pPr>
              <w:rPr>
                <w:rFonts w:ascii="Open Sans" w:hAnsi="Open Sans" w:cs="Open Sans"/>
              </w:rPr>
            </w:pPr>
          </w:p>
        </w:tc>
        <w:tc>
          <w:tcPr>
            <w:tcW w:w="907" w:type="dxa"/>
            <w:shd w:val="clear" w:color="auto" w:fill="E2EFD9" w:themeFill="accent6" w:themeFillTint="33"/>
          </w:tcPr>
          <w:p w14:paraId="3ED58282" w14:textId="77777777" w:rsidR="002E1E3A" w:rsidRPr="002947D9" w:rsidRDefault="002E1E3A" w:rsidP="00AD7ECD">
            <w:pPr>
              <w:rPr>
                <w:rFonts w:ascii="Open Sans" w:hAnsi="Open Sans" w:cs="Open Sans"/>
              </w:rPr>
            </w:pPr>
          </w:p>
        </w:tc>
      </w:tr>
      <w:tr w:rsidR="006C41F8" w:rsidRPr="002947D9" w14:paraId="35FD0CCC" w14:textId="1FFC8CD3" w:rsidTr="00694DF7">
        <w:tc>
          <w:tcPr>
            <w:tcW w:w="4531" w:type="dxa"/>
            <w:shd w:val="clear" w:color="auto" w:fill="FFF2CC" w:themeFill="accent4" w:themeFillTint="33"/>
          </w:tcPr>
          <w:p w14:paraId="0658052C" w14:textId="7E00E183" w:rsidR="002E1E3A" w:rsidRPr="002947D9" w:rsidRDefault="00BD7DB5" w:rsidP="00AD7ECD">
            <w:pPr>
              <w:rPr>
                <w:rFonts w:ascii="Open Sans" w:hAnsi="Open Sans" w:cs="Open Sans"/>
              </w:rPr>
            </w:pPr>
            <w:r w:rsidRPr="00BD7DB5">
              <w:rPr>
                <w:rFonts w:ascii="Open Sans" w:hAnsi="Open Sans" w:cs="Open Sans"/>
              </w:rPr>
              <w:t>God undervisnings- og vurderingspraksis etter LK 20</w:t>
            </w:r>
            <w:r w:rsidR="00694DF7">
              <w:rPr>
                <w:rStyle w:val="Fotnotereferanse"/>
                <w:rFonts w:ascii="Open Sans" w:hAnsi="Open Sans" w:cs="Open Sans"/>
              </w:rPr>
              <w:footnoteReference w:id="1"/>
            </w:r>
            <w:r w:rsidR="00694DF7">
              <w:rPr>
                <w:rFonts w:ascii="Open Sans" w:hAnsi="Open Sans" w:cs="Open Sans"/>
              </w:rPr>
              <w:t xml:space="preserve"> (pulje 1)</w:t>
            </w:r>
          </w:p>
        </w:tc>
        <w:tc>
          <w:tcPr>
            <w:tcW w:w="906" w:type="dxa"/>
          </w:tcPr>
          <w:p w14:paraId="79CB0E38" w14:textId="77777777" w:rsidR="002E1E3A" w:rsidRPr="002947D9" w:rsidRDefault="002E1E3A" w:rsidP="00AD7ECD">
            <w:pPr>
              <w:rPr>
                <w:rFonts w:ascii="Open Sans" w:hAnsi="Open Sans" w:cs="Open Sans"/>
              </w:rPr>
            </w:pPr>
          </w:p>
        </w:tc>
        <w:tc>
          <w:tcPr>
            <w:tcW w:w="906" w:type="dxa"/>
            <w:shd w:val="clear" w:color="auto" w:fill="FFFFFF" w:themeFill="background1"/>
          </w:tcPr>
          <w:p w14:paraId="7DED851C" w14:textId="77777777" w:rsidR="002E1E3A" w:rsidRPr="00763F21" w:rsidRDefault="002E1E3A" w:rsidP="00AD7ECD">
            <w:pPr>
              <w:rPr>
                <w:rFonts w:ascii="Open Sans" w:hAnsi="Open Sans" w:cs="Open Sans"/>
              </w:rPr>
            </w:pPr>
          </w:p>
        </w:tc>
        <w:tc>
          <w:tcPr>
            <w:tcW w:w="906" w:type="dxa"/>
            <w:shd w:val="clear" w:color="auto" w:fill="FFF2CC" w:themeFill="accent4" w:themeFillTint="33"/>
          </w:tcPr>
          <w:p w14:paraId="1C186C4C" w14:textId="77777777" w:rsidR="002E1E3A" w:rsidRPr="002947D9" w:rsidRDefault="002E1E3A" w:rsidP="00AD7ECD">
            <w:pPr>
              <w:rPr>
                <w:rFonts w:ascii="Open Sans" w:hAnsi="Open Sans" w:cs="Open Sans"/>
              </w:rPr>
            </w:pPr>
          </w:p>
        </w:tc>
        <w:tc>
          <w:tcPr>
            <w:tcW w:w="906" w:type="dxa"/>
            <w:shd w:val="clear" w:color="auto" w:fill="FFF2CC" w:themeFill="accent4" w:themeFillTint="33"/>
          </w:tcPr>
          <w:p w14:paraId="6FFF7374" w14:textId="77777777" w:rsidR="002E1E3A" w:rsidRPr="002947D9" w:rsidRDefault="002E1E3A" w:rsidP="00AD7ECD">
            <w:pPr>
              <w:rPr>
                <w:rFonts w:ascii="Open Sans" w:hAnsi="Open Sans" w:cs="Open Sans"/>
              </w:rPr>
            </w:pPr>
          </w:p>
        </w:tc>
        <w:tc>
          <w:tcPr>
            <w:tcW w:w="907" w:type="dxa"/>
            <w:shd w:val="clear" w:color="auto" w:fill="FFF2CC" w:themeFill="accent4" w:themeFillTint="33"/>
          </w:tcPr>
          <w:p w14:paraId="36B32BBB" w14:textId="77777777" w:rsidR="002E1E3A" w:rsidRPr="002947D9" w:rsidRDefault="002E1E3A" w:rsidP="00AD7ECD">
            <w:pPr>
              <w:rPr>
                <w:rFonts w:ascii="Open Sans" w:hAnsi="Open Sans" w:cs="Open Sans"/>
              </w:rPr>
            </w:pPr>
          </w:p>
        </w:tc>
      </w:tr>
      <w:tr w:rsidR="002E1E3A" w:rsidRPr="002947D9" w14:paraId="20C61CCE" w14:textId="12A17DCD" w:rsidTr="00694DF7">
        <w:tc>
          <w:tcPr>
            <w:tcW w:w="4531" w:type="dxa"/>
            <w:shd w:val="clear" w:color="auto" w:fill="FFF2CC" w:themeFill="accent4" w:themeFillTint="33"/>
          </w:tcPr>
          <w:p w14:paraId="47E0B810" w14:textId="15EA152C" w:rsidR="002E1E3A" w:rsidRPr="002947D9" w:rsidRDefault="00694DF7" w:rsidP="00AD7ECD">
            <w:pPr>
              <w:rPr>
                <w:rFonts w:ascii="Open Sans" w:hAnsi="Open Sans" w:cs="Open Sans"/>
              </w:rPr>
            </w:pPr>
            <w:r w:rsidRPr="00BD7DB5">
              <w:rPr>
                <w:rFonts w:ascii="Open Sans" w:hAnsi="Open Sans" w:cs="Open Sans"/>
              </w:rPr>
              <w:t>God undervisnings- og vurderingspraksis etter LK 20</w:t>
            </w:r>
            <w:r w:rsidR="002E1E3A" w:rsidRPr="002947D9">
              <w:rPr>
                <w:rFonts w:ascii="Open Sans" w:hAnsi="Open Sans" w:cs="Open Sans"/>
              </w:rPr>
              <w:t xml:space="preserve"> </w:t>
            </w:r>
            <w:r w:rsidR="002071C4">
              <w:rPr>
                <w:rFonts w:ascii="Open Sans" w:hAnsi="Open Sans" w:cs="Open Sans"/>
              </w:rPr>
              <w:t>(</w:t>
            </w:r>
            <w:r w:rsidR="002E1E3A" w:rsidRPr="002947D9">
              <w:rPr>
                <w:rFonts w:ascii="Open Sans" w:hAnsi="Open Sans" w:cs="Open Sans"/>
              </w:rPr>
              <w:t>pulje 2</w:t>
            </w:r>
            <w:r w:rsidR="002071C4">
              <w:rPr>
                <w:rFonts w:ascii="Open Sans" w:hAnsi="Open Sans" w:cs="Open Sans"/>
              </w:rPr>
              <w:t>)</w:t>
            </w:r>
          </w:p>
        </w:tc>
        <w:tc>
          <w:tcPr>
            <w:tcW w:w="906" w:type="dxa"/>
          </w:tcPr>
          <w:p w14:paraId="1302225F" w14:textId="77777777" w:rsidR="002E1E3A" w:rsidRPr="002947D9" w:rsidRDefault="002E1E3A" w:rsidP="00AD7ECD">
            <w:pPr>
              <w:rPr>
                <w:rFonts w:ascii="Open Sans" w:hAnsi="Open Sans" w:cs="Open Sans"/>
              </w:rPr>
            </w:pPr>
          </w:p>
        </w:tc>
        <w:tc>
          <w:tcPr>
            <w:tcW w:w="906" w:type="dxa"/>
            <w:shd w:val="clear" w:color="auto" w:fill="auto"/>
          </w:tcPr>
          <w:p w14:paraId="53ED40D8" w14:textId="77777777" w:rsidR="002E1E3A" w:rsidRPr="00763F21" w:rsidRDefault="002E1E3A" w:rsidP="00AD7ECD">
            <w:pPr>
              <w:rPr>
                <w:rFonts w:ascii="Open Sans" w:hAnsi="Open Sans" w:cs="Open Sans"/>
              </w:rPr>
            </w:pPr>
          </w:p>
        </w:tc>
        <w:tc>
          <w:tcPr>
            <w:tcW w:w="906" w:type="dxa"/>
            <w:shd w:val="clear" w:color="auto" w:fill="auto"/>
          </w:tcPr>
          <w:p w14:paraId="4FDD905C" w14:textId="01F7911C" w:rsidR="002E1E3A" w:rsidRPr="002947D9" w:rsidRDefault="002E1E3A" w:rsidP="00AD7ECD">
            <w:pPr>
              <w:rPr>
                <w:rFonts w:ascii="Open Sans" w:hAnsi="Open Sans" w:cs="Open Sans"/>
              </w:rPr>
            </w:pPr>
          </w:p>
        </w:tc>
        <w:tc>
          <w:tcPr>
            <w:tcW w:w="906" w:type="dxa"/>
            <w:shd w:val="clear" w:color="auto" w:fill="FFF2CC" w:themeFill="accent4" w:themeFillTint="33"/>
          </w:tcPr>
          <w:p w14:paraId="01F7F6DD" w14:textId="77777777" w:rsidR="002E1E3A" w:rsidRPr="002947D9" w:rsidRDefault="002E1E3A" w:rsidP="00AD7ECD">
            <w:pPr>
              <w:rPr>
                <w:rFonts w:ascii="Open Sans" w:hAnsi="Open Sans" w:cs="Open Sans"/>
              </w:rPr>
            </w:pPr>
          </w:p>
        </w:tc>
        <w:tc>
          <w:tcPr>
            <w:tcW w:w="907" w:type="dxa"/>
            <w:shd w:val="clear" w:color="auto" w:fill="FFF2CC" w:themeFill="accent4" w:themeFillTint="33"/>
          </w:tcPr>
          <w:p w14:paraId="5863E548" w14:textId="77777777" w:rsidR="002E1E3A" w:rsidRPr="002947D9" w:rsidRDefault="002E1E3A" w:rsidP="00AD7ECD">
            <w:pPr>
              <w:rPr>
                <w:rFonts w:ascii="Open Sans" w:hAnsi="Open Sans" w:cs="Open Sans"/>
              </w:rPr>
            </w:pPr>
          </w:p>
        </w:tc>
      </w:tr>
    </w:tbl>
    <w:p w14:paraId="58838414" w14:textId="77777777" w:rsidR="003D3705" w:rsidRPr="002947D9" w:rsidRDefault="003D3705" w:rsidP="003D3705">
      <w:pPr>
        <w:spacing w:after="0" w:line="240" w:lineRule="auto"/>
        <w:rPr>
          <w:rFonts w:ascii="Open Sans" w:hAnsi="Open Sans" w:cs="Open Sans"/>
          <w:noProof/>
        </w:rPr>
      </w:pPr>
    </w:p>
    <w:p w14:paraId="1403217A" w14:textId="35BE5631" w:rsidR="008C4C46" w:rsidRPr="002947D9" w:rsidRDefault="008C4C46" w:rsidP="003D3705">
      <w:pPr>
        <w:spacing w:after="0" w:line="240" w:lineRule="auto"/>
        <w:rPr>
          <w:rFonts w:ascii="Open Sans" w:hAnsi="Open Sans" w:cs="Open Sans"/>
        </w:rPr>
      </w:pPr>
    </w:p>
    <w:tbl>
      <w:tblPr>
        <w:tblStyle w:val="Tabellrutenett"/>
        <w:tblW w:w="0" w:type="auto"/>
        <w:tblLook w:val="04A0" w:firstRow="1" w:lastRow="0" w:firstColumn="1" w:lastColumn="0" w:noHBand="0" w:noVBand="1"/>
      </w:tblPr>
      <w:tblGrid>
        <w:gridCol w:w="4539"/>
        <w:gridCol w:w="4523"/>
      </w:tblGrid>
      <w:tr w:rsidR="008C4C46" w:rsidRPr="008C4C46" w14:paraId="7582C441" w14:textId="357763A0" w:rsidTr="00694DF7">
        <w:trPr>
          <w:trHeight w:val="639"/>
        </w:trPr>
        <w:tc>
          <w:tcPr>
            <w:tcW w:w="0" w:type="auto"/>
            <w:shd w:val="clear" w:color="auto" w:fill="DEEAF6" w:themeFill="accent5" w:themeFillTint="33"/>
          </w:tcPr>
          <w:p w14:paraId="2D962E81" w14:textId="7BE49BCB" w:rsidR="008C4C46" w:rsidRPr="008C4C46" w:rsidRDefault="008C4C46" w:rsidP="00694DF7">
            <w:pPr>
              <w:rPr>
                <w:rFonts w:ascii="Open Sans" w:hAnsi="Open Sans" w:cs="Open Sans"/>
              </w:rPr>
            </w:pPr>
            <w:r w:rsidRPr="008C4C46">
              <w:rPr>
                <w:rFonts w:ascii="Open Sans" w:hAnsi="Open Sans" w:cs="Open Sans"/>
              </w:rPr>
              <w:t>Følgende nettverk deltok i begynneropplæringstiltaket pulje 1</w:t>
            </w:r>
            <w:r w:rsidRPr="008C4C46">
              <w:rPr>
                <w:rFonts w:ascii="Open Sans" w:hAnsi="Open Sans" w:cs="Open Sans"/>
              </w:rPr>
              <w:br/>
            </w:r>
          </w:p>
        </w:tc>
        <w:tc>
          <w:tcPr>
            <w:tcW w:w="0" w:type="auto"/>
            <w:shd w:val="clear" w:color="auto" w:fill="DEEAF6" w:themeFill="accent5" w:themeFillTint="33"/>
          </w:tcPr>
          <w:p w14:paraId="4035D2E8" w14:textId="7278F55C" w:rsidR="008C4C46" w:rsidRPr="008C4C46" w:rsidRDefault="008C4C46" w:rsidP="00694DF7">
            <w:pPr>
              <w:rPr>
                <w:rFonts w:ascii="Open Sans" w:hAnsi="Open Sans" w:cs="Open Sans"/>
              </w:rPr>
            </w:pPr>
            <w:r w:rsidRPr="008C4C46">
              <w:rPr>
                <w:rFonts w:ascii="Open Sans" w:hAnsi="Open Sans" w:cs="Open Sans"/>
              </w:rPr>
              <w:t>Følgende nettverk deltar i begynneropplæringstiltaket pulje 2</w:t>
            </w:r>
            <w:r w:rsidRPr="008C4C46">
              <w:rPr>
                <w:rFonts w:ascii="Open Sans" w:hAnsi="Open Sans" w:cs="Open Sans"/>
              </w:rPr>
              <w:br/>
            </w:r>
          </w:p>
        </w:tc>
      </w:tr>
      <w:tr w:rsidR="008C4C46" w:rsidRPr="008C4C46" w14:paraId="5DA5E79E" w14:textId="6BE8E9B1" w:rsidTr="008C4C46">
        <w:tc>
          <w:tcPr>
            <w:tcW w:w="0" w:type="auto"/>
          </w:tcPr>
          <w:p w14:paraId="34AFF710" w14:textId="2F3635C1" w:rsidR="008C4C46" w:rsidRPr="008C4C46" w:rsidRDefault="008C4C46" w:rsidP="008C4C46">
            <w:pPr>
              <w:rPr>
                <w:rFonts w:ascii="Open Sans" w:hAnsi="Open Sans" w:cs="Open Sans"/>
              </w:rPr>
            </w:pPr>
            <w:r w:rsidRPr="008C4C46">
              <w:rPr>
                <w:rFonts w:ascii="Open Sans" w:hAnsi="Open Sans" w:cs="Open Sans"/>
              </w:rPr>
              <w:t>Gauldalsnettverket</w:t>
            </w:r>
          </w:p>
        </w:tc>
        <w:tc>
          <w:tcPr>
            <w:tcW w:w="0" w:type="auto"/>
          </w:tcPr>
          <w:p w14:paraId="615A1C37" w14:textId="0B7FA4C3" w:rsidR="008C4C46" w:rsidRPr="008C4C46" w:rsidRDefault="005A7946" w:rsidP="008C4C46">
            <w:pPr>
              <w:rPr>
                <w:rFonts w:ascii="Open Sans" w:hAnsi="Open Sans" w:cs="Open Sans"/>
              </w:rPr>
            </w:pPr>
            <w:r>
              <w:rPr>
                <w:rFonts w:ascii="Open Sans" w:hAnsi="Open Sans" w:cs="Open Sans"/>
              </w:rPr>
              <w:t>Gauldalsnettverket</w:t>
            </w:r>
          </w:p>
        </w:tc>
      </w:tr>
      <w:tr w:rsidR="008C4C46" w:rsidRPr="008C4C46" w14:paraId="19797251" w14:textId="58F95FFE" w:rsidTr="008C4C46">
        <w:tc>
          <w:tcPr>
            <w:tcW w:w="0" w:type="auto"/>
          </w:tcPr>
          <w:p w14:paraId="7C2B055B" w14:textId="444A7372" w:rsidR="008C4C46" w:rsidRPr="008C4C46" w:rsidRDefault="008C4C46" w:rsidP="008C4C46">
            <w:pPr>
              <w:rPr>
                <w:rFonts w:ascii="Open Sans" w:hAnsi="Open Sans" w:cs="Open Sans"/>
              </w:rPr>
            </w:pPr>
            <w:r w:rsidRPr="008C4C46">
              <w:rPr>
                <w:rFonts w:ascii="Open Sans" w:hAnsi="Open Sans" w:cs="Open Sans"/>
              </w:rPr>
              <w:t>Fosen</w:t>
            </w:r>
            <w:r>
              <w:rPr>
                <w:rFonts w:ascii="Open Sans" w:hAnsi="Open Sans" w:cs="Open Sans"/>
              </w:rPr>
              <w:t>-</w:t>
            </w:r>
            <w:r w:rsidRPr="008C4C46">
              <w:rPr>
                <w:rFonts w:ascii="Open Sans" w:hAnsi="Open Sans" w:cs="Open Sans"/>
              </w:rPr>
              <w:t>nettverket</w:t>
            </w:r>
          </w:p>
        </w:tc>
        <w:tc>
          <w:tcPr>
            <w:tcW w:w="0" w:type="auto"/>
          </w:tcPr>
          <w:p w14:paraId="71E47055" w14:textId="7C292F76" w:rsidR="008C4C46" w:rsidRPr="008C4C46" w:rsidRDefault="005A7946" w:rsidP="008C4C46">
            <w:pPr>
              <w:rPr>
                <w:rFonts w:ascii="Open Sans" w:hAnsi="Open Sans" w:cs="Open Sans"/>
              </w:rPr>
            </w:pPr>
            <w:r>
              <w:rPr>
                <w:rFonts w:ascii="Open Sans" w:hAnsi="Open Sans" w:cs="Open Sans"/>
              </w:rPr>
              <w:t>Malvik-Trondheim</w:t>
            </w:r>
          </w:p>
        </w:tc>
      </w:tr>
      <w:tr w:rsidR="008C4C46" w:rsidRPr="008C4C46" w14:paraId="13199F02" w14:textId="63B65DA5" w:rsidTr="008C4C46">
        <w:tc>
          <w:tcPr>
            <w:tcW w:w="0" w:type="auto"/>
          </w:tcPr>
          <w:p w14:paraId="48201D87" w14:textId="3416991B" w:rsidR="008C4C46" w:rsidRPr="008C4C46" w:rsidRDefault="008C4C46" w:rsidP="008C4C46">
            <w:pPr>
              <w:rPr>
                <w:rFonts w:ascii="Open Sans" w:hAnsi="Open Sans" w:cs="Open Sans"/>
              </w:rPr>
            </w:pPr>
            <w:bookmarkStart w:id="0" w:name="_Hlk82782491"/>
            <w:r w:rsidRPr="008C4C46">
              <w:rPr>
                <w:rFonts w:ascii="Open Sans" w:hAnsi="Open Sans" w:cs="Open Sans"/>
              </w:rPr>
              <w:t xml:space="preserve">Nettverket </w:t>
            </w:r>
            <w:bookmarkEnd w:id="0"/>
            <w:r w:rsidRPr="008C4C46">
              <w:rPr>
                <w:rFonts w:ascii="Open Sans" w:hAnsi="Open Sans" w:cs="Open Sans"/>
              </w:rPr>
              <w:t>Ytre Namdal</w:t>
            </w:r>
          </w:p>
        </w:tc>
        <w:tc>
          <w:tcPr>
            <w:tcW w:w="0" w:type="auto"/>
          </w:tcPr>
          <w:p w14:paraId="66336B04" w14:textId="25969ABD" w:rsidR="008C4C46" w:rsidRPr="008C4C46" w:rsidRDefault="005A7946" w:rsidP="008C4C46">
            <w:pPr>
              <w:rPr>
                <w:rFonts w:ascii="Open Sans" w:hAnsi="Open Sans" w:cs="Open Sans"/>
              </w:rPr>
            </w:pPr>
            <w:r>
              <w:rPr>
                <w:rFonts w:ascii="Open Sans" w:hAnsi="Open Sans" w:cs="Open Sans"/>
              </w:rPr>
              <w:t>Innherredsnettverket</w:t>
            </w:r>
          </w:p>
        </w:tc>
      </w:tr>
      <w:tr w:rsidR="008C4C46" w:rsidRPr="008C4C46" w14:paraId="4770C0BE" w14:textId="5D9D5DC1" w:rsidTr="008C4C46">
        <w:tc>
          <w:tcPr>
            <w:tcW w:w="0" w:type="auto"/>
          </w:tcPr>
          <w:p w14:paraId="23C4940F" w14:textId="78ECEB95" w:rsidR="008C4C46" w:rsidRPr="008C4C46" w:rsidRDefault="008C4C46" w:rsidP="008C4C46">
            <w:pPr>
              <w:rPr>
                <w:rFonts w:ascii="Open Sans" w:hAnsi="Open Sans" w:cs="Open Sans"/>
              </w:rPr>
            </w:pPr>
            <w:r w:rsidRPr="008C4C46">
              <w:rPr>
                <w:rFonts w:ascii="Open Sans" w:hAnsi="Open Sans" w:cs="Open Sans"/>
              </w:rPr>
              <w:t xml:space="preserve">Innherredsnettverket </w:t>
            </w:r>
          </w:p>
        </w:tc>
        <w:tc>
          <w:tcPr>
            <w:tcW w:w="0" w:type="auto"/>
          </w:tcPr>
          <w:p w14:paraId="7922A521" w14:textId="38F32D90" w:rsidR="008C4C46" w:rsidRPr="008C4C46" w:rsidRDefault="008C4C46" w:rsidP="008C4C46">
            <w:pPr>
              <w:rPr>
                <w:rFonts w:ascii="Open Sans" w:hAnsi="Open Sans" w:cs="Open Sans"/>
              </w:rPr>
            </w:pPr>
          </w:p>
        </w:tc>
      </w:tr>
      <w:tr w:rsidR="008C4C46" w:rsidRPr="008C4C46" w14:paraId="3D613686" w14:textId="4125D208" w:rsidTr="008C4C46">
        <w:tc>
          <w:tcPr>
            <w:tcW w:w="0" w:type="auto"/>
          </w:tcPr>
          <w:p w14:paraId="5BAE00CA" w14:textId="32260DD1" w:rsidR="008C4C46" w:rsidRPr="008C4C46" w:rsidRDefault="008C4C46" w:rsidP="008C4C46">
            <w:pPr>
              <w:rPr>
                <w:rFonts w:ascii="Open Sans" w:hAnsi="Open Sans" w:cs="Open Sans"/>
              </w:rPr>
            </w:pPr>
            <w:r w:rsidRPr="008C4C46">
              <w:rPr>
                <w:rFonts w:ascii="Open Sans" w:hAnsi="Open Sans" w:cs="Open Sans"/>
              </w:rPr>
              <w:t>Nettverket Indre Namdal</w:t>
            </w:r>
          </w:p>
        </w:tc>
        <w:tc>
          <w:tcPr>
            <w:tcW w:w="0" w:type="auto"/>
          </w:tcPr>
          <w:p w14:paraId="62F75E3C" w14:textId="6B124F6E" w:rsidR="008C4C46" w:rsidRPr="008C4C46" w:rsidRDefault="008C4C46" w:rsidP="008C4C46">
            <w:pPr>
              <w:rPr>
                <w:rFonts w:ascii="Open Sans" w:hAnsi="Open Sans" w:cs="Open Sans"/>
              </w:rPr>
            </w:pPr>
          </w:p>
        </w:tc>
      </w:tr>
      <w:tr w:rsidR="008C4C46" w:rsidRPr="008C4C46" w14:paraId="39345EFE" w14:textId="46E72220" w:rsidTr="008C4C46">
        <w:tc>
          <w:tcPr>
            <w:tcW w:w="0" w:type="auto"/>
          </w:tcPr>
          <w:p w14:paraId="5327CEC6" w14:textId="3A440EA0" w:rsidR="008C4C46" w:rsidRPr="008C4C46" w:rsidRDefault="008C4C46" w:rsidP="008C4C46">
            <w:pPr>
              <w:rPr>
                <w:rFonts w:ascii="Open Sans" w:hAnsi="Open Sans" w:cs="Open Sans"/>
              </w:rPr>
            </w:pPr>
            <w:r w:rsidRPr="008C4C46">
              <w:rPr>
                <w:rFonts w:ascii="Open Sans" w:hAnsi="Open Sans" w:cs="Open Sans"/>
              </w:rPr>
              <w:t>Værnes</w:t>
            </w:r>
            <w:r w:rsidR="00BD7DB5">
              <w:rPr>
                <w:rFonts w:ascii="Open Sans" w:hAnsi="Open Sans" w:cs="Open Sans"/>
              </w:rPr>
              <w:t>-</w:t>
            </w:r>
            <w:r w:rsidRPr="008C4C46">
              <w:rPr>
                <w:rFonts w:ascii="Open Sans" w:hAnsi="Open Sans" w:cs="Open Sans"/>
              </w:rPr>
              <w:t>nettverket</w:t>
            </w:r>
          </w:p>
        </w:tc>
        <w:tc>
          <w:tcPr>
            <w:tcW w:w="0" w:type="auto"/>
          </w:tcPr>
          <w:p w14:paraId="2C1508E8" w14:textId="387E2845" w:rsidR="008C4C46" w:rsidRPr="008C4C46" w:rsidRDefault="008C4C46" w:rsidP="008C4C46">
            <w:pPr>
              <w:rPr>
                <w:rFonts w:ascii="Open Sans" w:hAnsi="Open Sans" w:cs="Open Sans"/>
              </w:rPr>
            </w:pPr>
          </w:p>
        </w:tc>
      </w:tr>
      <w:tr w:rsidR="008C4C46" w:rsidRPr="008C4C46" w14:paraId="5523AA65" w14:textId="3E03799C" w:rsidTr="008C4C46">
        <w:tc>
          <w:tcPr>
            <w:tcW w:w="0" w:type="auto"/>
          </w:tcPr>
          <w:p w14:paraId="4915672B" w14:textId="24880D87" w:rsidR="008C4C46" w:rsidRPr="008C4C46" w:rsidRDefault="008C4C46" w:rsidP="008C4C46">
            <w:pPr>
              <w:rPr>
                <w:rFonts w:ascii="Open Sans" w:hAnsi="Open Sans" w:cs="Open Sans"/>
              </w:rPr>
            </w:pPr>
            <w:r w:rsidRPr="008C4C46">
              <w:rPr>
                <w:rFonts w:ascii="Open Sans" w:hAnsi="Open Sans" w:cs="Open Sans"/>
              </w:rPr>
              <w:t>Nettverket Verdal og Levanger</w:t>
            </w:r>
          </w:p>
        </w:tc>
        <w:tc>
          <w:tcPr>
            <w:tcW w:w="0" w:type="auto"/>
          </w:tcPr>
          <w:p w14:paraId="265D1A88" w14:textId="5ADBBBE7" w:rsidR="008C4C46" w:rsidRPr="008C4C46" w:rsidRDefault="008C4C46" w:rsidP="008C4C46">
            <w:pPr>
              <w:rPr>
                <w:rFonts w:ascii="Open Sans" w:hAnsi="Open Sans" w:cs="Open Sans"/>
              </w:rPr>
            </w:pPr>
          </w:p>
        </w:tc>
      </w:tr>
      <w:tr w:rsidR="008C4C46" w:rsidRPr="002947D9" w14:paraId="6F7E4C9F" w14:textId="5CCFAA79" w:rsidTr="008C4C46">
        <w:trPr>
          <w:trHeight w:val="471"/>
        </w:trPr>
        <w:tc>
          <w:tcPr>
            <w:tcW w:w="0" w:type="auto"/>
          </w:tcPr>
          <w:p w14:paraId="3EAF8B43" w14:textId="09AF48C9" w:rsidR="008C4C46" w:rsidRPr="002947D9" w:rsidRDefault="008C4C46" w:rsidP="008C4C46">
            <w:pPr>
              <w:rPr>
                <w:rFonts w:ascii="Open Sans" w:hAnsi="Open Sans" w:cs="Open Sans"/>
              </w:rPr>
            </w:pPr>
            <w:r w:rsidRPr="008C4C46">
              <w:rPr>
                <w:rFonts w:ascii="Open Sans" w:hAnsi="Open Sans" w:cs="Open Sans"/>
              </w:rPr>
              <w:t>Nettverket Trøndelag sørvest</w:t>
            </w:r>
          </w:p>
        </w:tc>
        <w:tc>
          <w:tcPr>
            <w:tcW w:w="0" w:type="auto"/>
          </w:tcPr>
          <w:p w14:paraId="25CBC058" w14:textId="3AC468C8" w:rsidR="008C4C46" w:rsidRPr="008C4C46" w:rsidRDefault="008C4C46" w:rsidP="008C4C46">
            <w:pPr>
              <w:rPr>
                <w:rFonts w:ascii="Open Sans" w:hAnsi="Open Sans" w:cs="Open Sans"/>
              </w:rPr>
            </w:pPr>
          </w:p>
        </w:tc>
      </w:tr>
    </w:tbl>
    <w:p w14:paraId="51D58FDD" w14:textId="77777777" w:rsidR="008C4C46" w:rsidRPr="002947D9" w:rsidRDefault="00E777DA" w:rsidP="00E777DA">
      <w:pPr>
        <w:spacing w:after="0" w:line="240" w:lineRule="auto"/>
        <w:rPr>
          <w:rFonts w:ascii="Open Sans" w:hAnsi="Open Sans" w:cs="Open Sans"/>
        </w:rPr>
      </w:pPr>
      <w:r w:rsidRPr="002947D9">
        <w:rPr>
          <w:rFonts w:ascii="Open Sans" w:hAnsi="Open Sans" w:cs="Open Sans"/>
        </w:rPr>
        <w:br/>
      </w:r>
    </w:p>
    <w:tbl>
      <w:tblPr>
        <w:tblStyle w:val="Tabellrutenett"/>
        <w:tblW w:w="0" w:type="auto"/>
        <w:tblLook w:val="04A0" w:firstRow="1" w:lastRow="0" w:firstColumn="1" w:lastColumn="0" w:noHBand="0" w:noVBand="1"/>
      </w:tblPr>
      <w:tblGrid>
        <w:gridCol w:w="3896"/>
        <w:gridCol w:w="5166"/>
      </w:tblGrid>
      <w:tr w:rsidR="008C4C46" w:rsidRPr="008C4C46" w14:paraId="07CCBCFF" w14:textId="77777777" w:rsidTr="009928BE">
        <w:tc>
          <w:tcPr>
            <w:tcW w:w="0" w:type="auto"/>
            <w:shd w:val="clear" w:color="auto" w:fill="DEEAF6" w:themeFill="accent5" w:themeFillTint="33"/>
          </w:tcPr>
          <w:p w14:paraId="08FCE3B6" w14:textId="68EB5591" w:rsidR="008C4C46" w:rsidRPr="008C4C46" w:rsidRDefault="008C4C46" w:rsidP="009928BE">
            <w:pPr>
              <w:rPr>
                <w:rFonts w:ascii="Open Sans" w:hAnsi="Open Sans" w:cs="Open Sans"/>
              </w:rPr>
            </w:pPr>
            <w:r w:rsidRPr="00BD7DB5">
              <w:rPr>
                <w:rFonts w:ascii="Open Sans" w:hAnsi="Open Sans" w:cs="Open Sans"/>
              </w:rPr>
              <w:t>Følgende nettverk deltar i tiltaket Læreplan og vurdering (pulje 1</w:t>
            </w:r>
            <w:r w:rsidRPr="008C4C46">
              <w:rPr>
                <w:rFonts w:ascii="Open Sans" w:hAnsi="Open Sans" w:cs="Open Sans"/>
                <w:u w:val="single"/>
              </w:rPr>
              <w:t>)</w:t>
            </w:r>
          </w:p>
        </w:tc>
        <w:tc>
          <w:tcPr>
            <w:tcW w:w="0" w:type="auto"/>
            <w:shd w:val="clear" w:color="auto" w:fill="DEEAF6" w:themeFill="accent5" w:themeFillTint="33"/>
          </w:tcPr>
          <w:p w14:paraId="68B8777C" w14:textId="2D49F267" w:rsidR="008C4C46" w:rsidRPr="008C4C46" w:rsidRDefault="00BD7DB5" w:rsidP="009928BE">
            <w:pPr>
              <w:rPr>
                <w:rFonts w:ascii="Open Sans" w:hAnsi="Open Sans" w:cs="Open Sans"/>
              </w:rPr>
            </w:pPr>
            <w:r w:rsidRPr="00BD7DB5">
              <w:rPr>
                <w:rFonts w:ascii="Open Sans" w:hAnsi="Open Sans" w:cs="Open Sans"/>
              </w:rPr>
              <w:t xml:space="preserve">Følgende nettverk deltar i tiltaket </w:t>
            </w:r>
            <w:r w:rsidR="00500E76" w:rsidRPr="00BD7DB5">
              <w:rPr>
                <w:rFonts w:ascii="Open Sans" w:hAnsi="Open Sans" w:cs="Open Sans"/>
              </w:rPr>
              <w:t>God undervisnings- og vurderingspraksis etter LK 20</w:t>
            </w:r>
            <w:r w:rsidR="00500E76" w:rsidRPr="002947D9">
              <w:rPr>
                <w:rFonts w:ascii="Open Sans" w:hAnsi="Open Sans" w:cs="Open Sans"/>
              </w:rPr>
              <w:t xml:space="preserve"> </w:t>
            </w:r>
            <w:r w:rsidRPr="00BD7DB5">
              <w:rPr>
                <w:rFonts w:ascii="Open Sans" w:hAnsi="Open Sans" w:cs="Open Sans"/>
              </w:rPr>
              <w:t>(pulje 2)</w:t>
            </w:r>
          </w:p>
        </w:tc>
      </w:tr>
      <w:tr w:rsidR="008C4C46" w:rsidRPr="008C4C46" w14:paraId="5502C8BD" w14:textId="77777777" w:rsidTr="009928BE">
        <w:tc>
          <w:tcPr>
            <w:tcW w:w="0" w:type="auto"/>
          </w:tcPr>
          <w:p w14:paraId="547B3A28" w14:textId="05FF2239" w:rsidR="008C4C46" w:rsidRPr="008C4C46" w:rsidRDefault="00BD7DB5" w:rsidP="009928BE">
            <w:pPr>
              <w:rPr>
                <w:rFonts w:ascii="Open Sans" w:hAnsi="Open Sans" w:cs="Open Sans"/>
              </w:rPr>
            </w:pPr>
            <w:r w:rsidRPr="002947D9">
              <w:rPr>
                <w:rFonts w:ascii="Open Sans" w:hAnsi="Open Sans" w:cs="Open Sans"/>
              </w:rPr>
              <w:t>Nettverket Ytre Namdal</w:t>
            </w:r>
          </w:p>
        </w:tc>
        <w:tc>
          <w:tcPr>
            <w:tcW w:w="0" w:type="auto"/>
          </w:tcPr>
          <w:p w14:paraId="1673013A" w14:textId="5FF1F5CD" w:rsidR="008C4C46" w:rsidRPr="008C4C46" w:rsidRDefault="00BD7DB5" w:rsidP="00BD7DB5">
            <w:pPr>
              <w:jc w:val="both"/>
              <w:rPr>
                <w:rFonts w:ascii="Open Sans" w:hAnsi="Open Sans" w:cs="Open Sans"/>
              </w:rPr>
            </w:pPr>
            <w:r w:rsidRPr="00BD7DB5">
              <w:rPr>
                <w:rFonts w:ascii="Open Sans" w:hAnsi="Open Sans" w:cs="Open Sans"/>
              </w:rPr>
              <w:t>Værnes</w:t>
            </w:r>
            <w:r>
              <w:rPr>
                <w:rFonts w:ascii="Open Sans" w:hAnsi="Open Sans" w:cs="Open Sans"/>
              </w:rPr>
              <w:t>-</w:t>
            </w:r>
            <w:r w:rsidRPr="00BD7DB5">
              <w:rPr>
                <w:rFonts w:ascii="Open Sans" w:hAnsi="Open Sans" w:cs="Open Sans"/>
              </w:rPr>
              <w:t>nettverket</w:t>
            </w:r>
          </w:p>
        </w:tc>
      </w:tr>
      <w:tr w:rsidR="008C4C46" w:rsidRPr="008C4C46" w14:paraId="797276CC" w14:textId="77777777" w:rsidTr="009928BE">
        <w:tc>
          <w:tcPr>
            <w:tcW w:w="0" w:type="auto"/>
          </w:tcPr>
          <w:p w14:paraId="66DBDD1D" w14:textId="5BAC35DF" w:rsidR="008C4C46" w:rsidRPr="008C4C46" w:rsidRDefault="00BD7DB5" w:rsidP="009928BE">
            <w:pPr>
              <w:rPr>
                <w:rFonts w:ascii="Open Sans" w:hAnsi="Open Sans" w:cs="Open Sans"/>
              </w:rPr>
            </w:pPr>
            <w:r w:rsidRPr="002947D9">
              <w:rPr>
                <w:rFonts w:ascii="Open Sans" w:hAnsi="Open Sans" w:cs="Open Sans"/>
              </w:rPr>
              <w:t>Nettverket Midtre Namdal</w:t>
            </w:r>
          </w:p>
        </w:tc>
        <w:tc>
          <w:tcPr>
            <w:tcW w:w="0" w:type="auto"/>
          </w:tcPr>
          <w:p w14:paraId="1BBE954D" w14:textId="51718DD1" w:rsidR="008C4C46" w:rsidRPr="008C4C46" w:rsidRDefault="00AD09A6" w:rsidP="00BD7DB5">
            <w:pPr>
              <w:jc w:val="both"/>
              <w:rPr>
                <w:rFonts w:ascii="Open Sans" w:hAnsi="Open Sans" w:cs="Open Sans"/>
              </w:rPr>
            </w:pPr>
            <w:r>
              <w:rPr>
                <w:rFonts w:ascii="Open Sans" w:hAnsi="Open Sans" w:cs="Open Sans"/>
              </w:rPr>
              <w:t>Nettverket</w:t>
            </w:r>
            <w:r w:rsidR="005A7946">
              <w:rPr>
                <w:rFonts w:ascii="Open Sans" w:hAnsi="Open Sans" w:cs="Open Sans"/>
              </w:rPr>
              <w:t xml:space="preserve"> Midtre Namdal</w:t>
            </w:r>
          </w:p>
        </w:tc>
      </w:tr>
      <w:tr w:rsidR="008C4C46" w:rsidRPr="008C4C46" w14:paraId="7BE09D9D" w14:textId="77777777" w:rsidTr="009928BE">
        <w:tc>
          <w:tcPr>
            <w:tcW w:w="0" w:type="auto"/>
          </w:tcPr>
          <w:p w14:paraId="3744696B" w14:textId="7AE3B6B1" w:rsidR="008C4C46" w:rsidRPr="008C4C46" w:rsidRDefault="00BD7DB5" w:rsidP="009928BE">
            <w:pPr>
              <w:rPr>
                <w:rFonts w:ascii="Open Sans" w:hAnsi="Open Sans" w:cs="Open Sans"/>
              </w:rPr>
            </w:pPr>
            <w:r w:rsidRPr="002947D9">
              <w:rPr>
                <w:rFonts w:ascii="Open Sans" w:hAnsi="Open Sans" w:cs="Open Sans"/>
              </w:rPr>
              <w:t>Nettverket Trondheim og Malvik</w:t>
            </w:r>
          </w:p>
        </w:tc>
        <w:tc>
          <w:tcPr>
            <w:tcW w:w="0" w:type="auto"/>
          </w:tcPr>
          <w:p w14:paraId="568D0AB5" w14:textId="09C6385A" w:rsidR="008C4C46" w:rsidRPr="008C4C46" w:rsidRDefault="00BD7DB5" w:rsidP="00BD7DB5">
            <w:pPr>
              <w:jc w:val="both"/>
              <w:rPr>
                <w:rFonts w:ascii="Open Sans" w:hAnsi="Open Sans" w:cs="Open Sans"/>
              </w:rPr>
            </w:pPr>
            <w:r w:rsidRPr="00BD7DB5">
              <w:rPr>
                <w:rFonts w:ascii="Open Sans" w:hAnsi="Open Sans" w:cs="Open Sans"/>
              </w:rPr>
              <w:t>Innherredsnettverket</w:t>
            </w:r>
          </w:p>
        </w:tc>
      </w:tr>
      <w:tr w:rsidR="008C4C46" w:rsidRPr="008C4C46" w14:paraId="72765AFD" w14:textId="77777777" w:rsidTr="009928BE">
        <w:tc>
          <w:tcPr>
            <w:tcW w:w="0" w:type="auto"/>
          </w:tcPr>
          <w:p w14:paraId="730B8465" w14:textId="774A8E2E" w:rsidR="008C4C46" w:rsidRPr="008C4C46" w:rsidRDefault="00BD7DB5" w:rsidP="009928BE">
            <w:pPr>
              <w:rPr>
                <w:rFonts w:ascii="Open Sans" w:hAnsi="Open Sans" w:cs="Open Sans"/>
              </w:rPr>
            </w:pPr>
            <w:r>
              <w:rPr>
                <w:rFonts w:ascii="Open Sans" w:hAnsi="Open Sans" w:cs="Open Sans"/>
              </w:rPr>
              <w:t>Nettverket Trøndelag sørvest</w:t>
            </w:r>
          </w:p>
        </w:tc>
        <w:tc>
          <w:tcPr>
            <w:tcW w:w="0" w:type="auto"/>
          </w:tcPr>
          <w:p w14:paraId="1BE31A58" w14:textId="7768C7CF" w:rsidR="008C4C46" w:rsidRPr="008C4C46" w:rsidRDefault="00BD7DB5" w:rsidP="00BD7DB5">
            <w:pPr>
              <w:jc w:val="both"/>
              <w:rPr>
                <w:rFonts w:ascii="Open Sans" w:hAnsi="Open Sans" w:cs="Open Sans"/>
              </w:rPr>
            </w:pPr>
            <w:r>
              <w:rPr>
                <w:rFonts w:ascii="Open Sans" w:hAnsi="Open Sans" w:cs="Open Sans"/>
              </w:rPr>
              <w:t>N</w:t>
            </w:r>
            <w:r w:rsidRPr="00BD7DB5">
              <w:rPr>
                <w:rFonts w:ascii="Open Sans" w:hAnsi="Open Sans" w:cs="Open Sans"/>
              </w:rPr>
              <w:t>ettverket Indre Namdal</w:t>
            </w:r>
          </w:p>
        </w:tc>
      </w:tr>
      <w:tr w:rsidR="008C4C46" w:rsidRPr="008C4C46" w14:paraId="3E4325D5" w14:textId="77777777" w:rsidTr="009928BE">
        <w:tc>
          <w:tcPr>
            <w:tcW w:w="0" w:type="auto"/>
          </w:tcPr>
          <w:p w14:paraId="418D7E84" w14:textId="10C891EE" w:rsidR="008C4C46" w:rsidRPr="008C4C46" w:rsidRDefault="00BD7DB5" w:rsidP="009928BE">
            <w:pPr>
              <w:rPr>
                <w:rFonts w:ascii="Open Sans" w:hAnsi="Open Sans" w:cs="Open Sans"/>
              </w:rPr>
            </w:pPr>
            <w:r>
              <w:rPr>
                <w:rFonts w:ascii="Open Sans" w:hAnsi="Open Sans" w:cs="Open Sans"/>
              </w:rPr>
              <w:t>Nettverket Levanger/Verdal</w:t>
            </w:r>
          </w:p>
        </w:tc>
        <w:tc>
          <w:tcPr>
            <w:tcW w:w="0" w:type="auto"/>
          </w:tcPr>
          <w:p w14:paraId="6C3B694A" w14:textId="62BD36E7" w:rsidR="008C4C46" w:rsidRPr="008C4C46" w:rsidRDefault="005A7946" w:rsidP="00BD7DB5">
            <w:pPr>
              <w:jc w:val="both"/>
              <w:rPr>
                <w:rFonts w:ascii="Open Sans" w:hAnsi="Open Sans" w:cs="Open Sans"/>
              </w:rPr>
            </w:pPr>
            <w:r>
              <w:rPr>
                <w:rFonts w:ascii="Open Sans" w:hAnsi="Open Sans" w:cs="Open Sans"/>
              </w:rPr>
              <w:t>Gauldalsnettverket</w:t>
            </w:r>
          </w:p>
        </w:tc>
      </w:tr>
      <w:tr w:rsidR="008C4C46" w:rsidRPr="008C4C46" w14:paraId="2B945F97" w14:textId="77777777" w:rsidTr="009928BE">
        <w:tc>
          <w:tcPr>
            <w:tcW w:w="0" w:type="auto"/>
          </w:tcPr>
          <w:p w14:paraId="310F303A" w14:textId="601D7360" w:rsidR="008C4C46" w:rsidRPr="008C4C46" w:rsidRDefault="00BD7DB5" w:rsidP="009928BE">
            <w:pPr>
              <w:rPr>
                <w:rFonts w:ascii="Open Sans" w:hAnsi="Open Sans" w:cs="Open Sans"/>
              </w:rPr>
            </w:pPr>
            <w:r>
              <w:rPr>
                <w:rFonts w:ascii="Open Sans" w:hAnsi="Open Sans" w:cs="Open Sans"/>
              </w:rPr>
              <w:t>Gauldalsnettverket</w:t>
            </w:r>
          </w:p>
        </w:tc>
        <w:tc>
          <w:tcPr>
            <w:tcW w:w="0" w:type="auto"/>
          </w:tcPr>
          <w:p w14:paraId="2EB9DE5D" w14:textId="01D4BBFB" w:rsidR="008C4C46" w:rsidRPr="008C4C46" w:rsidRDefault="00BD7DB5" w:rsidP="00BD7DB5">
            <w:pPr>
              <w:jc w:val="both"/>
              <w:rPr>
                <w:rFonts w:ascii="Open Sans" w:hAnsi="Open Sans" w:cs="Open Sans"/>
              </w:rPr>
            </w:pPr>
            <w:r w:rsidRPr="00BD7DB5">
              <w:rPr>
                <w:rFonts w:ascii="Open Sans" w:hAnsi="Open Sans" w:cs="Open Sans"/>
              </w:rPr>
              <w:t>Nettverket Trøndelag sørvest</w:t>
            </w:r>
          </w:p>
        </w:tc>
      </w:tr>
      <w:tr w:rsidR="00BD7DB5" w:rsidRPr="008C4C46" w14:paraId="168B90E0" w14:textId="77777777" w:rsidTr="009928BE">
        <w:tc>
          <w:tcPr>
            <w:tcW w:w="0" w:type="auto"/>
          </w:tcPr>
          <w:p w14:paraId="33DC6E37" w14:textId="77777777" w:rsidR="00BD7DB5" w:rsidRDefault="00BD7DB5" w:rsidP="009928BE">
            <w:pPr>
              <w:rPr>
                <w:rFonts w:ascii="Open Sans" w:hAnsi="Open Sans" w:cs="Open Sans"/>
              </w:rPr>
            </w:pPr>
          </w:p>
        </w:tc>
        <w:tc>
          <w:tcPr>
            <w:tcW w:w="0" w:type="auto"/>
          </w:tcPr>
          <w:p w14:paraId="2A7CF339" w14:textId="44761A1E" w:rsidR="00BD7DB5" w:rsidRPr="00BD7DB5" w:rsidRDefault="00BD7DB5" w:rsidP="00BD7DB5">
            <w:pPr>
              <w:jc w:val="both"/>
              <w:rPr>
                <w:rFonts w:ascii="Open Sans" w:hAnsi="Open Sans" w:cs="Open Sans"/>
              </w:rPr>
            </w:pPr>
            <w:r w:rsidRPr="00BD7DB5">
              <w:rPr>
                <w:rFonts w:ascii="Open Sans" w:hAnsi="Open Sans" w:cs="Open Sans"/>
              </w:rPr>
              <w:t>Nettverket Levanger/Verdal</w:t>
            </w:r>
          </w:p>
        </w:tc>
      </w:tr>
    </w:tbl>
    <w:p w14:paraId="489F2E9D" w14:textId="0A600B7F" w:rsidR="003D3705" w:rsidRPr="002947D9" w:rsidRDefault="00E1645B" w:rsidP="003D3705">
      <w:pPr>
        <w:spacing w:after="0" w:line="240" w:lineRule="auto"/>
        <w:rPr>
          <w:rFonts w:ascii="Open Sans" w:hAnsi="Open Sans" w:cs="Open Sans"/>
          <w:b/>
        </w:rPr>
      </w:pPr>
      <w:r>
        <w:rPr>
          <w:rFonts w:ascii="Open Sans" w:hAnsi="Open Sans" w:cs="Open Sans"/>
        </w:rPr>
        <w:br/>
      </w:r>
      <w:r w:rsidR="003D3705" w:rsidRPr="002947D9">
        <w:rPr>
          <w:rFonts w:ascii="Open Sans" w:hAnsi="Open Sans" w:cs="Open Sans"/>
        </w:rPr>
        <w:br/>
      </w:r>
      <w:r w:rsidR="003D3705" w:rsidRPr="002947D9">
        <w:rPr>
          <w:rFonts w:ascii="Open Sans" w:hAnsi="Open Sans" w:cs="Open Sans"/>
          <w:b/>
        </w:rPr>
        <w:t>Evaluering</w:t>
      </w:r>
    </w:p>
    <w:p w14:paraId="3D3153EA" w14:textId="154E7385" w:rsidR="003D3705" w:rsidRPr="002947D9" w:rsidRDefault="003D3705" w:rsidP="00E777DA">
      <w:pPr>
        <w:spacing w:after="0" w:line="240" w:lineRule="auto"/>
        <w:rPr>
          <w:rFonts w:ascii="Open Sans" w:hAnsi="Open Sans" w:cs="Open Sans"/>
          <w:strike/>
        </w:rPr>
      </w:pPr>
      <w:r w:rsidRPr="002947D9">
        <w:rPr>
          <w:rFonts w:ascii="Open Sans" w:hAnsi="Open Sans" w:cs="Open Sans"/>
        </w:rPr>
        <w:t xml:space="preserve">Partnerskapene (UH og skoleeierne i kompetansenettverkene) skal samarbeide om å evaluere kompetansetiltakene og vurdere måloppnåelsen. Samarbeidsforum gjør en </w:t>
      </w:r>
      <w:r w:rsidRPr="002947D9">
        <w:rPr>
          <w:rFonts w:ascii="Open Sans" w:hAnsi="Open Sans" w:cs="Open Sans"/>
        </w:rPr>
        <w:lastRenderedPageBreak/>
        <w:t>årlig vurdering basert på partnerskapenes rapporteringer</w:t>
      </w:r>
      <w:r w:rsidR="00103137">
        <w:rPr>
          <w:rFonts w:ascii="Open Sans" w:hAnsi="Open Sans" w:cs="Open Sans"/>
        </w:rPr>
        <w:t xml:space="preserve">, </w:t>
      </w:r>
      <w:r w:rsidR="005D163A">
        <w:rPr>
          <w:rFonts w:ascii="Open Sans" w:hAnsi="Open Sans" w:cs="Open Sans"/>
        </w:rPr>
        <w:t>og</w:t>
      </w:r>
      <w:r w:rsidR="00103137">
        <w:rPr>
          <w:rFonts w:ascii="Open Sans" w:hAnsi="Open Sans" w:cs="Open Sans"/>
        </w:rPr>
        <w:t xml:space="preserve"> på grunnlag av rapporter fra følgeforskningen</w:t>
      </w:r>
      <w:r w:rsidR="00CE34C9">
        <w:rPr>
          <w:rFonts w:ascii="Open Sans" w:hAnsi="Open Sans" w:cs="Open Sans"/>
        </w:rPr>
        <w:t>.</w:t>
      </w:r>
      <w:r w:rsidR="00103137">
        <w:rPr>
          <w:rStyle w:val="Fotnotereferanse"/>
          <w:rFonts w:ascii="Open Sans" w:hAnsi="Open Sans" w:cs="Open Sans"/>
        </w:rPr>
        <w:footnoteReference w:id="2"/>
      </w:r>
    </w:p>
    <w:p w14:paraId="286D0B7B" w14:textId="77777777" w:rsidR="003D3705" w:rsidRPr="002947D9" w:rsidRDefault="003D3705" w:rsidP="003D3705">
      <w:pPr>
        <w:spacing w:after="0" w:line="240" w:lineRule="auto"/>
        <w:rPr>
          <w:rFonts w:ascii="Open Sans" w:hAnsi="Open Sans" w:cs="Open Sans"/>
        </w:rPr>
      </w:pPr>
    </w:p>
    <w:p w14:paraId="006C0E6D" w14:textId="7958E925" w:rsidR="00E777DA" w:rsidRPr="002947D9" w:rsidRDefault="00E777DA">
      <w:pPr>
        <w:rPr>
          <w:rFonts w:ascii="Open Sans" w:hAnsi="Open Sans" w:cs="Open Sans"/>
        </w:rPr>
      </w:pPr>
      <w:r w:rsidRPr="002947D9">
        <w:rPr>
          <w:rFonts w:ascii="Open Sans" w:hAnsi="Open Sans" w:cs="Open Sans"/>
        </w:rPr>
        <w:t xml:space="preserve">Vedlegg 1 </w:t>
      </w:r>
      <w:r w:rsidRPr="002947D9">
        <w:rPr>
          <w:rFonts w:ascii="Open Sans" w:hAnsi="Open Sans" w:cs="Open Sans"/>
        </w:rPr>
        <w:tab/>
      </w:r>
      <w:r w:rsidR="00BD7DB5">
        <w:rPr>
          <w:rFonts w:ascii="Open Sans" w:hAnsi="Open Sans" w:cs="Open Sans"/>
        </w:rPr>
        <w:t>Begynneropplæringstiltaket</w:t>
      </w:r>
      <w:r w:rsidRPr="002947D9">
        <w:rPr>
          <w:rFonts w:ascii="Open Sans" w:hAnsi="Open Sans" w:cs="Open Sans"/>
        </w:rPr>
        <w:t xml:space="preserve"> (fellestiltak 1 i Dekom)</w:t>
      </w:r>
    </w:p>
    <w:p w14:paraId="19269A21" w14:textId="7035F784" w:rsidR="00E777DA" w:rsidRDefault="00E777DA" w:rsidP="00BD7DB5">
      <w:pPr>
        <w:ind w:left="1410" w:hanging="1410"/>
        <w:rPr>
          <w:rFonts w:ascii="Open Sans" w:hAnsi="Open Sans" w:cs="Open Sans"/>
        </w:rPr>
      </w:pPr>
      <w:r w:rsidRPr="002947D9">
        <w:rPr>
          <w:rFonts w:ascii="Open Sans" w:hAnsi="Open Sans" w:cs="Open Sans"/>
        </w:rPr>
        <w:t xml:space="preserve">Vedlegg 2 </w:t>
      </w:r>
      <w:r w:rsidRPr="002947D9">
        <w:rPr>
          <w:rFonts w:ascii="Open Sans" w:hAnsi="Open Sans" w:cs="Open Sans"/>
        </w:rPr>
        <w:tab/>
      </w:r>
      <w:r w:rsidR="00BD7DB5" w:rsidRPr="00BD7DB5">
        <w:rPr>
          <w:rFonts w:ascii="Open Sans" w:hAnsi="Open Sans" w:cs="Open Sans"/>
        </w:rPr>
        <w:t xml:space="preserve">God undervisnings- og vurderingspraksis etter LK 20 </w:t>
      </w:r>
      <w:r w:rsidRPr="002947D9">
        <w:rPr>
          <w:rFonts w:ascii="Open Sans" w:hAnsi="Open Sans" w:cs="Open Sans"/>
        </w:rPr>
        <w:t>(fellestiltak 2 i Dekom)</w:t>
      </w:r>
    </w:p>
    <w:p w14:paraId="651F7017" w14:textId="021C17FF" w:rsidR="00BA72E9" w:rsidRDefault="00BA72E9">
      <w:pPr>
        <w:rPr>
          <w:rFonts w:ascii="Open Sans" w:hAnsi="Open Sans" w:cs="Open Sans"/>
        </w:rPr>
      </w:pPr>
    </w:p>
    <w:p w14:paraId="0AD14BDC" w14:textId="1A57EF93" w:rsidR="00BA72E9" w:rsidRDefault="00BA72E9">
      <w:pPr>
        <w:rPr>
          <w:rFonts w:ascii="Open Sans" w:hAnsi="Open Sans" w:cs="Open Sans"/>
        </w:rPr>
      </w:pPr>
    </w:p>
    <w:p w14:paraId="3A8E8ACC" w14:textId="096F8BBE" w:rsidR="00BA72E9" w:rsidRDefault="00BA72E9">
      <w:pPr>
        <w:rPr>
          <w:rFonts w:ascii="Open Sans" w:hAnsi="Open Sans" w:cs="Open Sans"/>
        </w:rPr>
      </w:pPr>
    </w:p>
    <w:p w14:paraId="1750A8BB" w14:textId="0C65C3F6" w:rsidR="00BA72E9" w:rsidRDefault="00BA72E9">
      <w:pPr>
        <w:rPr>
          <w:rFonts w:ascii="Open Sans" w:hAnsi="Open Sans" w:cs="Open Sans"/>
        </w:rPr>
      </w:pPr>
    </w:p>
    <w:p w14:paraId="371B666C" w14:textId="3134FD99" w:rsidR="00BA72E9" w:rsidRDefault="00BA72E9">
      <w:pPr>
        <w:rPr>
          <w:rFonts w:ascii="Open Sans" w:hAnsi="Open Sans" w:cs="Open Sans"/>
        </w:rPr>
      </w:pPr>
    </w:p>
    <w:p w14:paraId="58F1B18B" w14:textId="4B350EF7" w:rsidR="00BA72E9" w:rsidRDefault="00BA72E9">
      <w:pPr>
        <w:rPr>
          <w:rFonts w:ascii="Open Sans" w:hAnsi="Open Sans" w:cs="Open Sans"/>
        </w:rPr>
      </w:pPr>
    </w:p>
    <w:p w14:paraId="4D8C0208" w14:textId="0F36C0C1" w:rsidR="00BA72E9" w:rsidRDefault="00BA72E9">
      <w:pPr>
        <w:rPr>
          <w:rFonts w:ascii="Open Sans" w:hAnsi="Open Sans" w:cs="Open Sans"/>
        </w:rPr>
      </w:pPr>
    </w:p>
    <w:p w14:paraId="428D6968" w14:textId="46118496" w:rsidR="00BA72E9" w:rsidRDefault="00BA72E9">
      <w:pPr>
        <w:rPr>
          <w:rFonts w:ascii="Open Sans" w:hAnsi="Open Sans" w:cs="Open Sans"/>
        </w:rPr>
      </w:pPr>
    </w:p>
    <w:p w14:paraId="2918451C" w14:textId="23201C1D" w:rsidR="00BA72E9" w:rsidRDefault="00BA72E9">
      <w:pPr>
        <w:rPr>
          <w:rFonts w:ascii="Open Sans" w:hAnsi="Open Sans" w:cs="Open Sans"/>
        </w:rPr>
      </w:pPr>
    </w:p>
    <w:p w14:paraId="5D06B504" w14:textId="77777777" w:rsidR="00E9463E" w:rsidRDefault="00E9463E">
      <w:pPr>
        <w:rPr>
          <w:rFonts w:ascii="Open Sans" w:hAnsi="Open Sans" w:cs="Open Sans"/>
        </w:rPr>
      </w:pPr>
      <w:r>
        <w:rPr>
          <w:rFonts w:ascii="Open Sans" w:hAnsi="Open Sans" w:cs="Open Sans"/>
        </w:rPr>
        <w:br w:type="page"/>
      </w:r>
    </w:p>
    <w:p w14:paraId="21E34F51" w14:textId="5CE51FED" w:rsidR="00BA72E9" w:rsidRPr="00E9463E" w:rsidRDefault="00BA72E9">
      <w:pPr>
        <w:rPr>
          <w:rFonts w:ascii="Open Sans" w:hAnsi="Open Sans" w:cs="Open Sans"/>
          <w:u w:val="single"/>
        </w:rPr>
      </w:pPr>
      <w:r w:rsidRPr="00E9463E">
        <w:rPr>
          <w:rFonts w:ascii="Open Sans" w:hAnsi="Open Sans" w:cs="Open Sans"/>
          <w:u w:val="single"/>
        </w:rPr>
        <w:lastRenderedPageBreak/>
        <w:t>Vedlegg 1</w:t>
      </w:r>
    </w:p>
    <w:p w14:paraId="2D292E7A" w14:textId="77777777" w:rsidR="00E9463E" w:rsidRPr="00E9463E" w:rsidRDefault="00E9463E" w:rsidP="00E9463E">
      <w:pPr>
        <w:pBdr>
          <w:top w:val="single" w:sz="4" w:space="10" w:color="4472C4" w:themeColor="accent1"/>
          <w:bottom w:val="single" w:sz="4" w:space="10" w:color="4472C4" w:themeColor="accent1"/>
        </w:pBdr>
        <w:spacing w:before="360" w:after="360" w:line="240" w:lineRule="auto"/>
        <w:ind w:left="864" w:right="864"/>
        <w:jc w:val="center"/>
        <w:rPr>
          <w:rFonts w:ascii="Open Sans" w:eastAsiaTheme="minorEastAsia" w:hAnsi="Open Sans" w:cs="Open Sans"/>
          <w:i/>
          <w:iCs/>
          <w:color w:val="4472C4" w:themeColor="accent1"/>
          <w:sz w:val="30"/>
          <w:szCs w:val="30"/>
          <w:lang w:eastAsia="nb-NO"/>
        </w:rPr>
      </w:pPr>
      <w:r w:rsidRPr="00E9463E">
        <w:rPr>
          <w:rFonts w:ascii="Open Sans" w:eastAsiaTheme="minorEastAsia" w:hAnsi="Open Sans" w:cs="Open Sans"/>
          <w:i/>
          <w:iCs/>
          <w:color w:val="4472C4" w:themeColor="accent1"/>
          <w:sz w:val="30"/>
          <w:szCs w:val="30"/>
          <w:lang w:eastAsia="nb-NO"/>
        </w:rPr>
        <w:t>Begynneropplæringstiltaket</w:t>
      </w:r>
    </w:p>
    <w:p w14:paraId="1FE8B77E" w14:textId="77777777" w:rsidR="00E9463E" w:rsidRPr="00E9463E" w:rsidRDefault="00E9463E" w:rsidP="00E9463E">
      <w:pPr>
        <w:pBdr>
          <w:top w:val="single" w:sz="4" w:space="10" w:color="4472C4" w:themeColor="accent1"/>
          <w:bottom w:val="single" w:sz="4" w:space="10" w:color="4472C4" w:themeColor="accent1"/>
        </w:pBdr>
        <w:spacing w:before="360" w:after="360" w:line="240" w:lineRule="auto"/>
        <w:ind w:left="864" w:right="864"/>
        <w:jc w:val="center"/>
        <w:rPr>
          <w:rFonts w:ascii="Open Sans" w:eastAsia="Calibri" w:hAnsi="Open Sans" w:cs="Open Sans"/>
          <w:color w:val="000000" w:themeColor="text1"/>
          <w:sz w:val="30"/>
          <w:szCs w:val="30"/>
          <w:lang w:eastAsia="nb-NO"/>
        </w:rPr>
      </w:pPr>
      <w:r w:rsidRPr="00E9463E">
        <w:rPr>
          <w:rFonts w:ascii="Open Sans" w:eastAsiaTheme="minorEastAsia" w:hAnsi="Open Sans" w:cs="Open Sans"/>
          <w:color w:val="4472C4" w:themeColor="accent1"/>
          <w:sz w:val="30"/>
          <w:szCs w:val="30"/>
          <w:lang w:eastAsia="nb-NO"/>
        </w:rPr>
        <w:t xml:space="preserve">Periode 2 </w:t>
      </w:r>
    </w:p>
    <w:p w14:paraId="3DD426F4" w14:textId="77777777" w:rsidR="00E9463E" w:rsidRPr="00E9463E" w:rsidRDefault="00E9463E" w:rsidP="00E9463E">
      <w:pPr>
        <w:spacing w:after="0" w:line="240" w:lineRule="auto"/>
        <w:rPr>
          <w:rFonts w:ascii="Open Sans" w:eastAsia="Calibri" w:hAnsi="Open Sans" w:cs="Open Sans"/>
          <w:i/>
          <w:iCs/>
          <w:color w:val="000000" w:themeColor="text1"/>
          <w:sz w:val="20"/>
          <w:szCs w:val="20"/>
          <w:lang w:eastAsia="nb-NO"/>
        </w:rPr>
      </w:pPr>
    </w:p>
    <w:p w14:paraId="0EE731BD" w14:textId="77777777" w:rsidR="00E9463E" w:rsidRPr="00E9463E" w:rsidRDefault="00E9463E" w:rsidP="00E9463E">
      <w:pPr>
        <w:spacing w:after="0" w:line="240" w:lineRule="auto"/>
        <w:rPr>
          <w:rFonts w:ascii="Open Sans" w:eastAsia="Calibri" w:hAnsi="Open Sans" w:cs="Open Sans"/>
          <w:i/>
          <w:iCs/>
          <w:color w:val="000000" w:themeColor="text1"/>
          <w:sz w:val="20"/>
          <w:szCs w:val="20"/>
          <w:lang w:eastAsia="nb-NO"/>
        </w:rPr>
      </w:pPr>
      <w:r w:rsidRPr="00E9463E">
        <w:rPr>
          <w:rFonts w:ascii="Open Sans" w:eastAsia="Calibri" w:hAnsi="Open Sans" w:cs="Open Sans"/>
          <w:i/>
          <w:iCs/>
          <w:color w:val="000000" w:themeColor="text1"/>
          <w:sz w:val="20"/>
          <w:szCs w:val="20"/>
          <w:lang w:eastAsia="nb-NO"/>
        </w:rPr>
        <w:t>Når elevene starter på skolen, har de med seg mange ulike erfaringer, kunnskaper og ferdigheter, og i løpet av de første skoleårene dannes grunnlaget for den videre læringen som skjer gjennom hele skoleløpet. Begynneropplæringen må ta utgangspunkt i hvor langt elevene har kommet i sin utvikling. Å ivareta hvordan de yngste elevene lærer, er et sentralt prinsipp i begynneropplæringstiltaket.</w:t>
      </w:r>
    </w:p>
    <w:p w14:paraId="566BE3FE" w14:textId="77777777" w:rsidR="00E9463E" w:rsidRPr="00E9463E" w:rsidRDefault="00E9463E" w:rsidP="00E9463E">
      <w:pPr>
        <w:spacing w:after="0" w:line="240" w:lineRule="auto"/>
        <w:rPr>
          <w:rFonts w:ascii="Open Sans" w:eastAsia="Calibri" w:hAnsi="Open Sans" w:cs="Open Sans"/>
          <w:color w:val="000000" w:themeColor="text1"/>
          <w:sz w:val="20"/>
          <w:szCs w:val="20"/>
          <w:lang w:eastAsia="nb-NO"/>
        </w:rPr>
      </w:pPr>
      <w:r w:rsidRPr="00E9463E">
        <w:rPr>
          <w:rFonts w:ascii="Open Sans" w:eastAsia="Calibri" w:hAnsi="Open Sans" w:cs="Open Sans"/>
          <w:b/>
          <w:bCs/>
          <w:color w:val="000000" w:themeColor="text1"/>
          <w:sz w:val="20"/>
          <w:szCs w:val="20"/>
          <w:lang w:eastAsia="nb-NO"/>
        </w:rPr>
        <w:br/>
        <w:t>Mål</w:t>
      </w:r>
    </w:p>
    <w:p w14:paraId="04167A4B" w14:textId="77777777" w:rsidR="00E9463E" w:rsidRPr="00E9463E" w:rsidRDefault="00E9463E" w:rsidP="00E9463E">
      <w:pPr>
        <w:spacing w:after="0" w:line="240" w:lineRule="auto"/>
        <w:rPr>
          <w:rFonts w:ascii="Open Sans" w:eastAsia="Calibri" w:hAnsi="Open Sans" w:cs="Open Sans"/>
          <w:color w:val="000000" w:themeColor="text1"/>
          <w:sz w:val="20"/>
          <w:szCs w:val="20"/>
          <w:lang w:eastAsia="nb-NO"/>
        </w:rPr>
      </w:pPr>
      <w:r w:rsidRPr="00E9463E">
        <w:rPr>
          <w:rFonts w:ascii="Open Sans" w:eastAsia="Calibri" w:hAnsi="Open Sans" w:cs="Open Sans"/>
          <w:color w:val="000000" w:themeColor="text1"/>
          <w:sz w:val="20"/>
          <w:szCs w:val="20"/>
          <w:lang w:eastAsia="nb-NO"/>
        </w:rPr>
        <w:t>Målet med tiltaket er at lærerne og skolene skal utvikle en god begynneropplæring som er i samsvar med læreplanen (LK20), og som gir alle elevene muligheter til å lære å lese, skrive og regne. Det innebærer at lærere, skoleledere og ansatte i PPT sammen legger til rette for tilpasset opplæring hvor alle elevene gjennom en utforskende tilnærming til læring får oppleve mening, mestring og motivasjon i skolehverdagen.</w:t>
      </w:r>
    </w:p>
    <w:p w14:paraId="6D5E3BC0" w14:textId="77777777" w:rsidR="00E9463E" w:rsidRPr="00E9463E" w:rsidRDefault="00E9463E" w:rsidP="00E9463E">
      <w:pPr>
        <w:spacing w:after="0" w:line="240" w:lineRule="auto"/>
        <w:rPr>
          <w:rFonts w:ascii="Open Sans" w:eastAsia="Calibri" w:hAnsi="Open Sans" w:cs="Open Sans"/>
          <w:color w:val="484848"/>
          <w:sz w:val="20"/>
          <w:szCs w:val="20"/>
          <w:lang w:eastAsia="nb-NO"/>
        </w:rPr>
      </w:pPr>
    </w:p>
    <w:p w14:paraId="532730E8" w14:textId="77777777" w:rsidR="00E9463E" w:rsidRPr="00E9463E" w:rsidRDefault="00E9463E" w:rsidP="00E9463E">
      <w:pPr>
        <w:spacing w:after="0" w:line="240" w:lineRule="auto"/>
        <w:rPr>
          <w:rFonts w:ascii="Open Sans" w:eastAsia="Calibri" w:hAnsi="Open Sans" w:cs="Open Sans"/>
          <w:b/>
          <w:bCs/>
          <w:sz w:val="20"/>
          <w:szCs w:val="20"/>
          <w:lang w:eastAsia="nb-NO"/>
        </w:rPr>
      </w:pPr>
      <w:r w:rsidRPr="00E9463E">
        <w:rPr>
          <w:rFonts w:ascii="Open Sans" w:eastAsia="Calibri" w:hAnsi="Open Sans" w:cs="Open Sans"/>
          <w:b/>
          <w:bCs/>
          <w:sz w:val="20"/>
          <w:szCs w:val="20"/>
          <w:lang w:eastAsia="nb-NO"/>
        </w:rPr>
        <w:t>Målgruppe</w:t>
      </w:r>
    </w:p>
    <w:p w14:paraId="218C0D60" w14:textId="77777777" w:rsidR="00E9463E" w:rsidRPr="00E9463E" w:rsidRDefault="00E9463E" w:rsidP="00E9463E">
      <w:pPr>
        <w:spacing w:after="0" w:line="240" w:lineRule="auto"/>
        <w:rPr>
          <w:rFonts w:ascii="Open Sans" w:eastAsia="Calibri" w:hAnsi="Open Sans" w:cs="Open Sans"/>
          <w:sz w:val="20"/>
          <w:szCs w:val="20"/>
          <w:lang w:eastAsia="nb-NO"/>
        </w:rPr>
      </w:pPr>
      <w:r w:rsidRPr="00E9463E">
        <w:rPr>
          <w:rFonts w:ascii="Open Sans" w:eastAsia="Calibri" w:hAnsi="Open Sans" w:cs="Open Sans"/>
          <w:sz w:val="20"/>
          <w:szCs w:val="20"/>
          <w:lang w:eastAsia="nb-NO"/>
        </w:rPr>
        <w:t>Lærere på småskoletrinnet, ressurspersoner, skoleledere og ansatte i PP-tjenesten.</w:t>
      </w:r>
    </w:p>
    <w:p w14:paraId="14E9CE3B" w14:textId="77777777" w:rsidR="00E9463E" w:rsidRPr="00E9463E" w:rsidRDefault="00E9463E" w:rsidP="00E9463E">
      <w:pPr>
        <w:spacing w:after="0" w:line="240" w:lineRule="auto"/>
        <w:rPr>
          <w:rFonts w:ascii="Open Sans" w:eastAsia="Calibri" w:hAnsi="Open Sans" w:cs="Open Sans"/>
          <w:sz w:val="20"/>
          <w:szCs w:val="20"/>
          <w:lang w:eastAsia="nb-NO"/>
        </w:rPr>
      </w:pPr>
    </w:p>
    <w:p w14:paraId="6899634E" w14:textId="77777777" w:rsidR="00E9463E" w:rsidRPr="00E9463E" w:rsidRDefault="00E9463E" w:rsidP="00E9463E">
      <w:pPr>
        <w:spacing w:after="0" w:line="240" w:lineRule="auto"/>
        <w:rPr>
          <w:rFonts w:ascii="Open Sans" w:eastAsia="Calibri" w:hAnsi="Open Sans" w:cs="Open Sans"/>
          <w:b/>
          <w:bCs/>
          <w:sz w:val="20"/>
          <w:szCs w:val="20"/>
          <w:lang w:eastAsia="nb-NO"/>
        </w:rPr>
      </w:pPr>
      <w:r w:rsidRPr="00E9463E">
        <w:rPr>
          <w:rFonts w:ascii="Open Sans" w:eastAsia="Calibri" w:hAnsi="Open Sans" w:cs="Open Sans"/>
          <w:b/>
          <w:bCs/>
          <w:sz w:val="20"/>
          <w:szCs w:val="20"/>
          <w:lang w:eastAsia="nb-NO"/>
        </w:rPr>
        <w:t>Varighet</w:t>
      </w:r>
    </w:p>
    <w:p w14:paraId="5F83982D" w14:textId="77777777" w:rsidR="00E9463E" w:rsidRPr="00E9463E" w:rsidRDefault="00E9463E" w:rsidP="00E9463E">
      <w:pPr>
        <w:spacing w:after="0" w:line="240" w:lineRule="auto"/>
        <w:rPr>
          <w:rFonts w:ascii="Open Sans" w:eastAsia="Calibri" w:hAnsi="Open Sans" w:cs="Open Sans"/>
          <w:sz w:val="20"/>
          <w:szCs w:val="20"/>
          <w:lang w:eastAsia="nb-NO"/>
        </w:rPr>
      </w:pPr>
      <w:r w:rsidRPr="00E9463E">
        <w:rPr>
          <w:rFonts w:ascii="Open Sans" w:eastAsia="Calibri" w:hAnsi="Open Sans" w:cs="Open Sans"/>
          <w:sz w:val="20"/>
          <w:szCs w:val="20"/>
          <w:lang w:eastAsia="nb-NO"/>
        </w:rPr>
        <w:t>2023 til 2025, med tre samlinger hvert år (totalt 6 samlinger, en på høsten og to på våren). Oppstart skjer høsten 2023. Dersom noen nettverk ikke har kapasitet til å starte høsten 2023, er det mulig å utsette oppstart til våren 2024.</w:t>
      </w:r>
    </w:p>
    <w:p w14:paraId="5671E551" w14:textId="77777777" w:rsidR="00E9463E" w:rsidRPr="00E9463E" w:rsidRDefault="00E9463E" w:rsidP="00E9463E">
      <w:pPr>
        <w:spacing w:after="0" w:line="240" w:lineRule="auto"/>
        <w:rPr>
          <w:rFonts w:ascii="Open Sans" w:eastAsia="Calibri" w:hAnsi="Open Sans" w:cs="Open Sans"/>
          <w:sz w:val="20"/>
          <w:szCs w:val="20"/>
          <w:lang w:eastAsia="nb-NO"/>
        </w:rPr>
      </w:pPr>
    </w:p>
    <w:p w14:paraId="6A772EA3" w14:textId="77777777" w:rsidR="00E9463E" w:rsidRPr="00E9463E" w:rsidRDefault="00E9463E" w:rsidP="00E9463E">
      <w:pPr>
        <w:spacing w:after="0" w:line="240" w:lineRule="auto"/>
        <w:rPr>
          <w:rFonts w:ascii="Open Sans" w:eastAsia="Calibri" w:hAnsi="Open Sans" w:cs="Open Sans"/>
          <w:sz w:val="20"/>
          <w:szCs w:val="20"/>
          <w:lang w:eastAsia="nb-NO"/>
        </w:rPr>
      </w:pPr>
      <w:r w:rsidRPr="00E9463E">
        <w:rPr>
          <w:rFonts w:ascii="Open Sans" w:eastAsia="Calibri" w:hAnsi="Open Sans" w:cs="Open Sans"/>
          <w:b/>
          <w:bCs/>
          <w:sz w:val="20"/>
          <w:szCs w:val="20"/>
          <w:lang w:eastAsia="nb-NO"/>
        </w:rPr>
        <w:t>Innhold</w:t>
      </w:r>
    </w:p>
    <w:p w14:paraId="794517BA" w14:textId="77777777" w:rsidR="00E9463E" w:rsidRPr="00E9463E" w:rsidRDefault="00E9463E" w:rsidP="00E9463E">
      <w:pPr>
        <w:spacing w:after="0" w:line="240" w:lineRule="auto"/>
        <w:rPr>
          <w:rFonts w:ascii="Open Sans" w:eastAsia="Calibri" w:hAnsi="Open Sans" w:cs="Open Sans"/>
          <w:sz w:val="20"/>
          <w:szCs w:val="20"/>
          <w:lang w:eastAsia="nb-NO"/>
        </w:rPr>
      </w:pPr>
      <w:r w:rsidRPr="00E9463E">
        <w:rPr>
          <w:rFonts w:ascii="Open Sans" w:eastAsia="Calibri" w:hAnsi="Open Sans" w:cs="Open Sans"/>
          <w:i/>
          <w:iCs/>
          <w:sz w:val="20"/>
          <w:szCs w:val="20"/>
          <w:lang w:eastAsia="nb-NO"/>
        </w:rPr>
        <w:t>Tidlig innsats i begynneropplæringen</w:t>
      </w:r>
      <w:r w:rsidRPr="00E9463E">
        <w:rPr>
          <w:rFonts w:ascii="Open Sans" w:eastAsia="Calibri" w:hAnsi="Open Sans" w:cs="Open Sans"/>
          <w:sz w:val="20"/>
          <w:szCs w:val="20"/>
          <w:lang w:eastAsia="nb-NO"/>
        </w:rPr>
        <w:t xml:space="preserve"> vil ha et særlig søkelys på matematikk (regning) og skriving. Sentrale temaer i matematikk vil for eksempel være grunnleggende tallforståelse, utforskende undervisning, matematiske samtaler (ulike typer samtaler og samtaletrekk), elevstrategier, representasjoner, motivasjon og vurdering/kartlegging. Sentrale temaer innen skriving vil være meningsfull skriveopplæring, utforskning og vurdering av skriving som grunnlag for å støtte elever i videre skriveutvikling. Sammenhenger mellom muntlige ferdigheter og lesing og skriving vil også bli vektlagt.</w:t>
      </w:r>
    </w:p>
    <w:p w14:paraId="6AAC25B7" w14:textId="77777777" w:rsidR="00E9463E" w:rsidRPr="00E9463E" w:rsidRDefault="00E9463E" w:rsidP="00E9463E">
      <w:pPr>
        <w:spacing w:after="0" w:line="240" w:lineRule="auto"/>
        <w:rPr>
          <w:rFonts w:ascii="Open Sans" w:eastAsia="Calibri" w:hAnsi="Open Sans" w:cs="Open Sans"/>
          <w:sz w:val="20"/>
          <w:szCs w:val="20"/>
          <w:lang w:eastAsia="nb-NO"/>
        </w:rPr>
      </w:pPr>
      <w:r w:rsidRPr="00E9463E">
        <w:rPr>
          <w:rFonts w:ascii="Open Sans" w:eastAsiaTheme="minorEastAsia" w:hAnsi="Open Sans" w:cs="Open Sans"/>
          <w:sz w:val="20"/>
          <w:szCs w:val="20"/>
          <w:lang w:eastAsia="nb-NO"/>
        </w:rPr>
        <w:br/>
      </w:r>
      <w:r w:rsidRPr="00E9463E">
        <w:rPr>
          <w:rFonts w:ascii="Open Sans" w:eastAsia="Calibri" w:hAnsi="Open Sans" w:cs="Open Sans"/>
          <w:sz w:val="20"/>
          <w:szCs w:val="20"/>
          <w:lang w:eastAsia="nb-NO"/>
        </w:rPr>
        <w:t>Innholdsmomentene ovenfor vil gi kunnskap om hvordan lærere kan legge til rette for en utforskende og lekende tilnærming til læring for de yngste elevene. Det vil også bli vektlagt hvordan lærere kan støtte elever som står i fare for å bli hengende etter i lesing, skriving og regning.</w:t>
      </w:r>
    </w:p>
    <w:p w14:paraId="692FD417" w14:textId="77777777" w:rsidR="00E9463E" w:rsidRPr="00E9463E" w:rsidRDefault="00E9463E" w:rsidP="00E9463E">
      <w:pPr>
        <w:spacing w:after="0" w:line="240" w:lineRule="auto"/>
        <w:rPr>
          <w:rFonts w:ascii="Open Sans" w:eastAsia="Calibri" w:hAnsi="Open Sans" w:cs="Open Sans"/>
          <w:sz w:val="20"/>
          <w:szCs w:val="20"/>
          <w:lang w:eastAsia="nb-NO"/>
        </w:rPr>
      </w:pPr>
    </w:p>
    <w:p w14:paraId="6AE864CC" w14:textId="77777777" w:rsidR="00E9463E" w:rsidRPr="00E9463E" w:rsidRDefault="00E9463E" w:rsidP="00E9463E">
      <w:pPr>
        <w:spacing w:after="0" w:line="240" w:lineRule="auto"/>
        <w:rPr>
          <w:rFonts w:ascii="Open Sans" w:eastAsia="Calibri" w:hAnsi="Open Sans" w:cs="Open Sans"/>
          <w:b/>
          <w:bCs/>
          <w:sz w:val="20"/>
          <w:szCs w:val="20"/>
          <w:lang w:eastAsia="nb-NO"/>
        </w:rPr>
      </w:pPr>
      <w:r w:rsidRPr="00E9463E">
        <w:rPr>
          <w:rFonts w:ascii="Open Sans" w:eastAsia="Calibri" w:hAnsi="Open Sans" w:cs="Open Sans"/>
          <w:b/>
          <w:bCs/>
          <w:sz w:val="20"/>
          <w:szCs w:val="20"/>
          <w:lang w:eastAsia="nb-NO"/>
        </w:rPr>
        <w:t>Organisering</w:t>
      </w:r>
    </w:p>
    <w:p w14:paraId="706FDC45" w14:textId="77777777" w:rsidR="00E9463E" w:rsidRPr="00E9463E" w:rsidRDefault="00E9463E" w:rsidP="00E9463E">
      <w:pPr>
        <w:spacing w:after="0" w:line="240" w:lineRule="auto"/>
        <w:rPr>
          <w:rFonts w:ascii="Open Sans" w:eastAsia="Calibri" w:hAnsi="Open Sans" w:cs="Open Sans"/>
          <w:color w:val="000000" w:themeColor="text1"/>
          <w:sz w:val="20"/>
          <w:szCs w:val="20"/>
          <w:lang w:eastAsia="nb-NO"/>
        </w:rPr>
      </w:pPr>
      <w:r w:rsidRPr="00E9463E">
        <w:rPr>
          <w:rFonts w:ascii="Open Sans" w:eastAsia="Calibri" w:hAnsi="Open Sans" w:cs="Open Sans"/>
          <w:color w:val="000000" w:themeColor="text1"/>
          <w:sz w:val="20"/>
          <w:szCs w:val="20"/>
          <w:lang w:eastAsia="nb-NO"/>
        </w:rPr>
        <w:t xml:space="preserve">Nettverk som deltar i </w:t>
      </w:r>
      <w:r w:rsidRPr="00E9463E">
        <w:rPr>
          <w:rFonts w:ascii="Open Sans" w:eastAsia="Calibri" w:hAnsi="Open Sans" w:cs="Open Sans"/>
          <w:i/>
          <w:iCs/>
          <w:color w:val="000000" w:themeColor="text1"/>
          <w:sz w:val="20"/>
          <w:szCs w:val="20"/>
          <w:lang w:eastAsia="nb-NO"/>
        </w:rPr>
        <w:t>Begynneropplæringstiltaket,</w:t>
      </w:r>
      <w:r w:rsidRPr="00E9463E">
        <w:rPr>
          <w:rFonts w:ascii="Open Sans" w:eastAsia="Calibri" w:hAnsi="Open Sans" w:cs="Open Sans"/>
          <w:color w:val="000000" w:themeColor="text1"/>
          <w:sz w:val="20"/>
          <w:szCs w:val="20"/>
          <w:lang w:eastAsia="nb-NO"/>
        </w:rPr>
        <w:t xml:space="preserve"> får over en toårsperiode delta på 6 fagsamlinger. Mellom samlingene skal lærerne gjennomføre mellomarbeid som blir modellert på samlingene. Mellomarbeidet vil relateres til lærerens egen praksis. Deltagerne skal i tillegg dele erfaringer fra utprøving. </w:t>
      </w:r>
    </w:p>
    <w:p w14:paraId="0E622E24" w14:textId="77777777" w:rsidR="00E9463E" w:rsidRPr="00E9463E" w:rsidRDefault="00E9463E" w:rsidP="00E9463E">
      <w:pPr>
        <w:spacing w:after="0" w:line="240" w:lineRule="auto"/>
        <w:rPr>
          <w:rFonts w:ascii="Open Sans" w:eastAsia="Calibri" w:hAnsi="Open Sans" w:cs="Open Sans"/>
          <w:color w:val="000000" w:themeColor="text1"/>
          <w:sz w:val="20"/>
          <w:szCs w:val="20"/>
          <w:lang w:eastAsia="nb-NO"/>
        </w:rPr>
      </w:pPr>
    </w:p>
    <w:p w14:paraId="3C9289C1" w14:textId="4E9863E1" w:rsidR="00E9463E" w:rsidRPr="00E9463E" w:rsidRDefault="00E9463E" w:rsidP="00E9463E">
      <w:pPr>
        <w:spacing w:after="0" w:line="240" w:lineRule="auto"/>
        <w:rPr>
          <w:rFonts w:ascii="Open Sans" w:eastAsia="Calibri" w:hAnsi="Open Sans" w:cs="Open Sans"/>
          <w:b/>
          <w:bCs/>
          <w:sz w:val="20"/>
          <w:szCs w:val="20"/>
          <w:lang w:eastAsia="nb-NO"/>
        </w:rPr>
      </w:pPr>
      <w:r w:rsidRPr="00E9463E">
        <w:rPr>
          <w:rFonts w:ascii="Open Sans" w:eastAsia="Calibri" w:hAnsi="Open Sans" w:cs="Open Sans"/>
          <w:sz w:val="20"/>
          <w:szCs w:val="20"/>
          <w:lang w:eastAsia="nb-NO"/>
        </w:rPr>
        <w:lastRenderedPageBreak/>
        <w:t>Mot slutten av prosjektperioden bør skolene evaluere utviklingsarbeidet og legge en plan for videre utvikling i begynneropplæringa ved sin skole. Hvert nettverk vil ved oppstart få en kontaktperson fra sentrene. Kontaktpersonen vil delta på alle samlinger i nettverket og gi støtte mellom samlingene.</w:t>
      </w:r>
      <w:r w:rsidRPr="00E9463E">
        <w:rPr>
          <w:rFonts w:ascii="Open Sans" w:eastAsiaTheme="minorEastAsia" w:hAnsi="Open Sans" w:cs="Open Sans"/>
          <w:sz w:val="20"/>
          <w:szCs w:val="20"/>
          <w:lang w:eastAsia="nb-NO"/>
        </w:rPr>
        <w:br/>
      </w:r>
      <w:r w:rsidRPr="00E9463E">
        <w:rPr>
          <w:rFonts w:ascii="Open Sans" w:eastAsiaTheme="minorEastAsia" w:hAnsi="Open Sans" w:cs="Open Sans"/>
          <w:sz w:val="20"/>
          <w:szCs w:val="20"/>
          <w:lang w:eastAsia="nb-NO"/>
        </w:rPr>
        <w:br/>
      </w:r>
      <w:r w:rsidRPr="00E9463E">
        <w:rPr>
          <w:rFonts w:ascii="Open Sans" w:eastAsia="Calibri" w:hAnsi="Open Sans" w:cs="Open Sans"/>
          <w:b/>
          <w:bCs/>
          <w:sz w:val="20"/>
          <w:szCs w:val="20"/>
          <w:lang w:eastAsia="nb-NO"/>
        </w:rPr>
        <w:t>Bidragsytere</w:t>
      </w:r>
    </w:p>
    <w:p w14:paraId="5CBB84A8" w14:textId="77777777" w:rsidR="00E9463E" w:rsidRPr="00E9463E" w:rsidRDefault="00E9463E" w:rsidP="00E9463E">
      <w:pPr>
        <w:spacing w:after="0" w:line="240" w:lineRule="auto"/>
        <w:rPr>
          <w:rFonts w:ascii="Open Sans" w:eastAsia="Calibri" w:hAnsi="Open Sans" w:cs="Open Sans"/>
          <w:sz w:val="20"/>
          <w:szCs w:val="20"/>
          <w:lang w:eastAsia="nb-NO"/>
        </w:rPr>
      </w:pPr>
      <w:r w:rsidRPr="00E9463E">
        <w:rPr>
          <w:rFonts w:ascii="Open Sans" w:eastAsia="Calibri" w:hAnsi="Open Sans" w:cs="Open Sans"/>
          <w:sz w:val="20"/>
          <w:szCs w:val="20"/>
          <w:lang w:eastAsia="nb-NO"/>
        </w:rPr>
        <w:t>Nasjonalt senter for matematikk i opplæringen (Matematikksenteret) og Nasjonalt senter for skriveopplæring og skriveforsking (Skrivesenteret) ved NTNU.</w:t>
      </w:r>
    </w:p>
    <w:p w14:paraId="20DD0F2E" w14:textId="77777777" w:rsidR="00E9463E" w:rsidRPr="00E9463E" w:rsidRDefault="00E9463E" w:rsidP="00E9463E">
      <w:pPr>
        <w:spacing w:after="0" w:line="240" w:lineRule="auto"/>
        <w:rPr>
          <w:rFonts w:ascii="Open Sans" w:eastAsia="Calibri" w:hAnsi="Open Sans" w:cs="Open Sans"/>
          <w:sz w:val="20"/>
          <w:szCs w:val="20"/>
          <w:lang w:eastAsia="nb-NO"/>
        </w:rPr>
      </w:pPr>
    </w:p>
    <w:p w14:paraId="5B9C0BA3" w14:textId="77777777" w:rsidR="00E9463E" w:rsidRPr="00E9463E" w:rsidRDefault="00E9463E" w:rsidP="00E9463E">
      <w:pPr>
        <w:spacing w:after="0" w:line="240" w:lineRule="auto"/>
        <w:rPr>
          <w:rFonts w:ascii="Open Sans" w:eastAsia="Calibri" w:hAnsi="Open Sans" w:cs="Open Sans"/>
          <w:b/>
          <w:bCs/>
          <w:sz w:val="20"/>
          <w:szCs w:val="20"/>
          <w:lang w:eastAsia="nb-NO"/>
        </w:rPr>
      </w:pPr>
      <w:r w:rsidRPr="00E9463E">
        <w:rPr>
          <w:rFonts w:ascii="Open Sans" w:eastAsia="Calibri" w:hAnsi="Open Sans" w:cs="Open Sans"/>
          <w:b/>
          <w:bCs/>
          <w:sz w:val="20"/>
          <w:szCs w:val="20"/>
          <w:lang w:eastAsia="nb-NO"/>
        </w:rPr>
        <w:t>Forpliktelser</w:t>
      </w:r>
    </w:p>
    <w:p w14:paraId="0C774156" w14:textId="77777777" w:rsidR="00E9463E" w:rsidRPr="00E9463E" w:rsidRDefault="00E9463E" w:rsidP="00E9463E">
      <w:pPr>
        <w:spacing w:after="0" w:line="240" w:lineRule="auto"/>
        <w:rPr>
          <w:rFonts w:ascii="Open Sans" w:eastAsiaTheme="minorEastAsia" w:hAnsi="Open Sans" w:cs="Open Sans"/>
          <w:sz w:val="20"/>
          <w:szCs w:val="20"/>
          <w:lang w:eastAsia="nb-NO"/>
        </w:rPr>
      </w:pPr>
      <w:r w:rsidRPr="00E9463E">
        <w:rPr>
          <w:rFonts w:ascii="Open Sans" w:eastAsia="Calibri" w:hAnsi="Open Sans" w:cs="Open Sans"/>
          <w:sz w:val="20"/>
          <w:szCs w:val="20"/>
          <w:lang w:eastAsia="nb-NO"/>
        </w:rPr>
        <w:t xml:space="preserve">Skoleledere deltar på digitalt informasjonsmøte og de forplikter seg til å legge til rette for at lærerne får anledning til å delta på samlinger og gjennomføre mellomarbeid mellom samlingene. Ledelsen bør også legge til rette for erfaringsdeling på egen enhet. </w:t>
      </w:r>
      <w:r w:rsidRPr="00E9463E">
        <w:rPr>
          <w:rFonts w:ascii="Open Sans" w:eastAsiaTheme="minorEastAsia" w:hAnsi="Open Sans" w:cs="Open Sans"/>
          <w:sz w:val="20"/>
          <w:szCs w:val="20"/>
          <w:lang w:eastAsia="nb-NO"/>
        </w:rPr>
        <w:t xml:space="preserve">Én fra skolens ledelse bør delta på samlingene, og på noen samlinger legges det særskilt opp til deltakelse fra skoleledere. </w:t>
      </w:r>
    </w:p>
    <w:p w14:paraId="561240E7" w14:textId="77777777" w:rsidR="00E9463E" w:rsidRPr="00E9463E" w:rsidRDefault="00E9463E" w:rsidP="00E9463E">
      <w:pPr>
        <w:spacing w:after="0" w:line="240" w:lineRule="auto"/>
        <w:rPr>
          <w:rFonts w:ascii="Open Sans" w:eastAsia="Calibri" w:hAnsi="Open Sans" w:cs="Open Sans"/>
          <w:sz w:val="20"/>
          <w:szCs w:val="20"/>
          <w:lang w:eastAsia="nb-NO"/>
        </w:rPr>
      </w:pPr>
    </w:p>
    <w:p w14:paraId="1550D4C2" w14:textId="77777777" w:rsidR="00E9463E" w:rsidRPr="00E9463E" w:rsidRDefault="00E9463E" w:rsidP="00E9463E">
      <w:pPr>
        <w:spacing w:after="0" w:line="240" w:lineRule="auto"/>
        <w:rPr>
          <w:rFonts w:ascii="Open Sans" w:eastAsia="Calibri" w:hAnsi="Open Sans" w:cs="Open Sans"/>
          <w:sz w:val="20"/>
          <w:szCs w:val="20"/>
          <w:lang w:eastAsia="nb-NO"/>
        </w:rPr>
      </w:pPr>
      <w:r w:rsidRPr="00E9463E">
        <w:rPr>
          <w:rFonts w:ascii="Open Sans" w:eastAsia="Calibri" w:hAnsi="Open Sans" w:cs="Open Sans"/>
          <w:sz w:val="20"/>
          <w:szCs w:val="20"/>
          <w:lang w:eastAsia="nb-NO"/>
        </w:rPr>
        <w:t>I inneværende periode av tiltaket er det skoler som har lagt til rette for alternativ organisering av skoledager de dagene lærerne er på fagsamling. Det har ført til at skolen har kunnet sende alle lærerne som jobber med de yngste elevene. I tillegg har også en representant fra skoleledelsen deltatt. En slik organisering kan bidra til at fellestiltaket blir forankret på skolenivå. Løsninger for at alle lærere på aktuelle trinn kan delta på samlinger, vil bli drøftet på et møte med skoleledere.</w:t>
      </w:r>
    </w:p>
    <w:p w14:paraId="7AF2EF84" w14:textId="77777777" w:rsidR="00E9463E" w:rsidRDefault="00E9463E">
      <w:pPr>
        <w:rPr>
          <w:rFonts w:ascii="Open Sans" w:hAnsi="Open Sans" w:cs="Open Sans"/>
        </w:rPr>
      </w:pPr>
    </w:p>
    <w:p w14:paraId="65D84202" w14:textId="77777777" w:rsidR="00AA572C" w:rsidRPr="00BA72E9" w:rsidRDefault="00AA572C" w:rsidP="00BA72E9">
      <w:pPr>
        <w:rPr>
          <w:rFonts w:ascii="Open Sans" w:eastAsia="Calibri" w:hAnsi="Open Sans" w:cs="Open Sans"/>
        </w:rPr>
      </w:pPr>
    </w:p>
    <w:p w14:paraId="190E246F" w14:textId="77777777" w:rsidR="00E9463E" w:rsidRDefault="00E9463E">
      <w:pPr>
        <w:rPr>
          <w:rFonts w:ascii="Open Sans" w:eastAsia="Calibri" w:hAnsi="Open Sans" w:cs="Open Sans"/>
        </w:rPr>
      </w:pPr>
      <w:r>
        <w:rPr>
          <w:rFonts w:ascii="Open Sans" w:eastAsia="Calibri" w:hAnsi="Open Sans" w:cs="Open Sans"/>
        </w:rPr>
        <w:br w:type="page"/>
      </w:r>
    </w:p>
    <w:p w14:paraId="4BA12B38" w14:textId="5741F984" w:rsidR="00BA72E9" w:rsidRPr="001E0EC9" w:rsidRDefault="00AA572C" w:rsidP="00BA72E9">
      <w:pPr>
        <w:rPr>
          <w:rFonts w:ascii="Open Sans" w:eastAsia="Calibri" w:hAnsi="Open Sans" w:cs="Open Sans"/>
          <w:u w:val="single"/>
        </w:rPr>
      </w:pPr>
      <w:r w:rsidRPr="001E0EC9">
        <w:rPr>
          <w:rFonts w:ascii="Open Sans" w:eastAsia="Calibri" w:hAnsi="Open Sans" w:cs="Open Sans"/>
          <w:u w:val="single"/>
        </w:rPr>
        <w:lastRenderedPageBreak/>
        <w:t>Vedlegg 2</w:t>
      </w:r>
    </w:p>
    <w:p w14:paraId="4518E679" w14:textId="77777777" w:rsidR="007D09CB" w:rsidRPr="007D09CB" w:rsidRDefault="007D09CB" w:rsidP="007D09CB">
      <w:pPr>
        <w:pStyle w:val="Sterktsitat"/>
        <w:rPr>
          <w:rStyle w:val="Sterkutheving"/>
          <w:sz w:val="30"/>
          <w:szCs w:val="30"/>
        </w:rPr>
      </w:pPr>
      <w:r w:rsidRPr="007D09CB">
        <w:rPr>
          <w:rStyle w:val="Sterkutheving"/>
          <w:sz w:val="30"/>
          <w:szCs w:val="30"/>
        </w:rPr>
        <w:t xml:space="preserve">Fellestiltak Dekom Trøndelag </w:t>
      </w:r>
      <w:r w:rsidRPr="007D09CB">
        <w:rPr>
          <w:rStyle w:val="Sterkutheving"/>
          <w:sz w:val="30"/>
          <w:szCs w:val="30"/>
        </w:rPr>
        <w:br/>
        <w:t xml:space="preserve">God undervisnings- og vurderingspraksis etter LK 20 </w:t>
      </w:r>
    </w:p>
    <w:p w14:paraId="4D031205" w14:textId="77777777" w:rsidR="007D09CB" w:rsidRPr="007D09CB" w:rsidRDefault="007D09CB" w:rsidP="007D09CB">
      <w:pPr>
        <w:spacing w:after="0" w:line="240" w:lineRule="auto"/>
        <w:rPr>
          <w:rFonts w:ascii="Open Sans" w:eastAsia="Calibri" w:hAnsi="Open Sans" w:cs="Open Sans"/>
          <w:i/>
          <w:iCs/>
          <w:sz w:val="20"/>
          <w:szCs w:val="20"/>
        </w:rPr>
      </w:pPr>
    </w:p>
    <w:p w14:paraId="09D726CE" w14:textId="77777777" w:rsidR="007D09CB" w:rsidRPr="007D09CB" w:rsidRDefault="007D09CB" w:rsidP="007D09CB">
      <w:pPr>
        <w:spacing w:after="0" w:line="240" w:lineRule="auto"/>
        <w:rPr>
          <w:rFonts w:ascii="Open Sans" w:eastAsia="Calibri" w:hAnsi="Open Sans" w:cs="Open Sans"/>
          <w:i/>
          <w:iCs/>
          <w:sz w:val="20"/>
          <w:szCs w:val="20"/>
        </w:rPr>
      </w:pPr>
      <w:r w:rsidRPr="007D09CB">
        <w:rPr>
          <w:rFonts w:ascii="Open Sans" w:eastAsia="Calibri" w:hAnsi="Open Sans" w:cs="Open Sans"/>
          <w:i/>
          <w:iCs/>
          <w:sz w:val="20"/>
          <w:szCs w:val="20"/>
        </w:rPr>
        <w:t>Innenfor enkelte fagområder har skoler i Trøndelag overlappende og felles behov. Tematikken læreplanforståelse og læringsfremmende og rettferdig vurderingspraksis er et slikt område. Å utvikle og gjennomføre et slikt fellestiltak avhjelper kapasiteten til universitet- og høyskolesektoren (UH). I tillegg bidrar fellestiltaket til at flest mulig skoler får anledning til å delta dersom de har behov for det.  Forutsetningen for at fellestiltak skal bidra til praksisutvikling på den enkelte skole, er at tiltaket forankres og følges opp lokalt. Tiltaket eies av samarbeidsforum og skal finansieres, evalueres og styres derfra.</w:t>
      </w:r>
    </w:p>
    <w:p w14:paraId="1DF87046" w14:textId="77777777" w:rsidR="007D09CB" w:rsidRPr="007D09CB" w:rsidRDefault="007D09CB" w:rsidP="007D09CB">
      <w:pPr>
        <w:spacing w:after="0" w:line="240" w:lineRule="auto"/>
        <w:rPr>
          <w:rFonts w:ascii="Open Sans" w:eastAsia="Calibri" w:hAnsi="Open Sans" w:cs="Open Sans"/>
          <w:sz w:val="20"/>
          <w:szCs w:val="20"/>
        </w:rPr>
      </w:pPr>
      <w:r w:rsidRPr="007D09CB">
        <w:rPr>
          <w:rFonts w:ascii="Open Sans" w:eastAsia="Calibri" w:hAnsi="Open Sans" w:cs="Open Sans"/>
          <w:sz w:val="20"/>
          <w:szCs w:val="20"/>
        </w:rPr>
        <w:br/>
      </w:r>
      <w:r w:rsidRPr="007D09CB">
        <w:rPr>
          <w:rFonts w:ascii="Open Sans" w:eastAsia="Calibri" w:hAnsi="Open Sans" w:cs="Open Sans"/>
          <w:b/>
          <w:bCs/>
          <w:sz w:val="20"/>
          <w:szCs w:val="20"/>
        </w:rPr>
        <w:t>1. Bakgrunn</w:t>
      </w:r>
      <w:r w:rsidRPr="007D09CB">
        <w:rPr>
          <w:rFonts w:ascii="Open Sans" w:eastAsia="Calibri" w:hAnsi="Open Sans" w:cs="Open Sans"/>
          <w:b/>
          <w:sz w:val="20"/>
          <w:szCs w:val="20"/>
        </w:rPr>
        <w:t xml:space="preserve"> </w:t>
      </w:r>
      <w:r w:rsidRPr="007D09CB">
        <w:rPr>
          <w:rFonts w:ascii="Open Sans" w:eastAsia="Calibri" w:hAnsi="Open Sans" w:cs="Open Sans"/>
          <w:b/>
          <w:sz w:val="20"/>
          <w:szCs w:val="20"/>
        </w:rPr>
        <w:br/>
      </w:r>
      <w:r w:rsidRPr="007D09CB">
        <w:rPr>
          <w:rFonts w:ascii="Open Sans" w:eastAsia="Calibri" w:hAnsi="Open Sans" w:cs="Open Sans"/>
          <w:bCs/>
          <w:sz w:val="20"/>
          <w:szCs w:val="20"/>
        </w:rPr>
        <w:t>Høsten 2020 ble nytt læreplanverk for grunnopplæringen innført. Evalueringen av LK06 viste at implementeringsarbeidet tok tid, og at det er behov for støtte i et slikt arbeid</w:t>
      </w:r>
      <w:r w:rsidRPr="007D09CB">
        <w:rPr>
          <w:rFonts w:ascii="Open Sans" w:eastAsia="Calibri" w:hAnsi="Open Sans" w:cs="Open Sans"/>
          <w:b/>
          <w:bCs/>
          <w:sz w:val="20"/>
          <w:szCs w:val="20"/>
          <w:vertAlign w:val="superscript"/>
        </w:rPr>
        <w:footnoteReference w:id="3"/>
      </w:r>
      <w:r w:rsidRPr="007D09CB">
        <w:rPr>
          <w:rFonts w:ascii="Open Sans" w:eastAsia="Calibri" w:hAnsi="Open Sans" w:cs="Open Sans"/>
          <w:bCs/>
          <w:sz w:val="20"/>
          <w:szCs w:val="20"/>
        </w:rPr>
        <w:t xml:space="preserve">. I forberedelsene til ny læreplan, valgte samarbeidsforum å initiere et </w:t>
      </w:r>
      <w:r w:rsidRPr="007D09CB">
        <w:rPr>
          <w:rFonts w:ascii="Open Sans" w:eastAsia="Calibri" w:hAnsi="Open Sans" w:cs="Open Sans"/>
          <w:bCs/>
          <w:i/>
          <w:iCs/>
          <w:sz w:val="20"/>
          <w:szCs w:val="20"/>
        </w:rPr>
        <w:t>fagfornyelseskorps</w:t>
      </w:r>
      <w:r w:rsidRPr="007D09CB">
        <w:rPr>
          <w:rFonts w:ascii="Open Sans" w:eastAsia="Calibri" w:hAnsi="Open Sans" w:cs="Open Sans"/>
          <w:bCs/>
          <w:sz w:val="20"/>
          <w:szCs w:val="20"/>
        </w:rPr>
        <w:t xml:space="preserve"> med ansatte fra lokal UH. Nettverk, kommuner og skoler kunne gjøre avtaler om støtte ut fra de behovene som fantes lokalt. Tiltaket ble ikke benyttet i stor grad – selv om nettverkene rapporterte at skolene hadde behov for implementeringsstøtte.</w:t>
      </w:r>
      <w:r w:rsidRPr="007D09CB">
        <w:rPr>
          <w:rFonts w:ascii="Open Sans" w:eastAsia="Calibri" w:hAnsi="Open Sans" w:cs="Open Sans"/>
          <w:bCs/>
          <w:sz w:val="20"/>
          <w:szCs w:val="20"/>
        </w:rPr>
        <w:br/>
      </w:r>
      <w:r w:rsidRPr="007D09CB">
        <w:rPr>
          <w:rFonts w:ascii="Open Sans" w:eastAsia="Calibri" w:hAnsi="Open Sans" w:cs="Open Sans"/>
          <w:bCs/>
          <w:sz w:val="20"/>
          <w:szCs w:val="20"/>
        </w:rPr>
        <w:br/>
        <w:t xml:space="preserve">Parallelt med innføringen av nytt læreplanverk ble vurderingsforskriften endret, og det er gjort et større fornyingsarbeid på eksamensområdet med hensyn til oppgavetyper og øvrige rammer for eksamen. Dette gjorde at vurdering – både underveis- og sluttvurdering – seilte opp som et behov for en samlet sektor. </w:t>
      </w:r>
      <w:r w:rsidRPr="007D09CB">
        <w:rPr>
          <w:rFonts w:ascii="Open Sans" w:eastAsia="Calibri" w:hAnsi="Open Sans" w:cs="Open Sans"/>
          <w:bCs/>
          <w:sz w:val="20"/>
          <w:szCs w:val="20"/>
        </w:rPr>
        <w:br/>
      </w:r>
      <w:r w:rsidRPr="007D09CB">
        <w:rPr>
          <w:rFonts w:ascii="Open Sans" w:eastAsia="Calibri" w:hAnsi="Open Sans" w:cs="Open Sans"/>
          <w:bCs/>
          <w:sz w:val="20"/>
          <w:szCs w:val="20"/>
        </w:rPr>
        <w:br/>
        <w:t xml:space="preserve">Overordnet del av læreplanen sier at </w:t>
      </w:r>
      <w:r w:rsidRPr="007D09CB">
        <w:rPr>
          <w:rFonts w:ascii="Open Sans" w:eastAsia="Calibri" w:hAnsi="Open Sans" w:cs="Open Sans"/>
          <w:bCs/>
          <w:i/>
          <w:iCs/>
          <w:sz w:val="20"/>
          <w:szCs w:val="20"/>
        </w:rPr>
        <w:t>«v</w:t>
      </w:r>
      <w:r w:rsidRPr="007D09CB">
        <w:rPr>
          <w:rFonts w:ascii="Open Sans" w:eastAsia="Calibri" w:hAnsi="Open Sans" w:cs="Open Sans"/>
          <w:i/>
          <w:iCs/>
          <w:sz w:val="20"/>
          <w:szCs w:val="20"/>
        </w:rPr>
        <w:t>urderingen av elevenes faglige kompetanse skal gi et bilde av hva elevene kan, men et sentralt formål med vurderingen, er også å fremme læring og utvikling. God vurdering, der forventningene er tydelige og eleven deltar og blir hørt underveis i læringsarbeidet, er en nøkkel til å tilpasse undervisningen».</w:t>
      </w:r>
      <w:r w:rsidRPr="007D09CB">
        <w:rPr>
          <w:rFonts w:ascii="Open Sans" w:eastAsia="Calibri" w:hAnsi="Open Sans" w:cs="Open Sans"/>
          <w:sz w:val="20"/>
          <w:szCs w:val="20"/>
        </w:rPr>
        <w:t xml:space="preserve"> Å operasjonalisere læreplanen i god undervisning og støtte elevene i læringsarbeidet gjennom vurdering og veiledning, er å tilpasse og tilrettelegge for mangfoldet av elever - og inkludering i praksis.</w:t>
      </w:r>
      <w:r w:rsidRPr="007D09CB">
        <w:rPr>
          <w:rFonts w:ascii="Open Sans" w:eastAsia="Calibri" w:hAnsi="Open Sans" w:cs="Open Sans"/>
          <w:b/>
          <w:sz w:val="20"/>
          <w:szCs w:val="20"/>
        </w:rPr>
        <w:br/>
      </w:r>
    </w:p>
    <w:p w14:paraId="5EF7F330" w14:textId="77777777" w:rsidR="007D09CB" w:rsidRPr="007D09CB" w:rsidRDefault="007D09CB" w:rsidP="007D09CB">
      <w:pPr>
        <w:spacing w:after="0" w:line="240" w:lineRule="auto"/>
        <w:rPr>
          <w:rFonts w:ascii="Open Sans" w:eastAsia="Calibri" w:hAnsi="Open Sans" w:cs="Open Sans"/>
          <w:sz w:val="20"/>
          <w:szCs w:val="20"/>
        </w:rPr>
      </w:pPr>
      <w:r w:rsidRPr="007D09CB">
        <w:rPr>
          <w:rFonts w:ascii="Open Sans" w:eastAsia="Calibri" w:hAnsi="Open Sans" w:cs="Open Sans"/>
          <w:sz w:val="20"/>
          <w:szCs w:val="20"/>
        </w:rPr>
        <w:t>Samtidig vet vi at elevvurdering er utfordrende for mange lærere. Elever er prisgitt sine læreres tolking av kompetansemål og vurderingsforskrift (</w:t>
      </w:r>
      <w:proofErr w:type="spellStart"/>
      <w:r w:rsidRPr="007D09CB">
        <w:rPr>
          <w:rFonts w:ascii="Open Sans" w:eastAsia="Calibri" w:hAnsi="Open Sans" w:cs="Open Sans"/>
          <w:sz w:val="20"/>
          <w:szCs w:val="20"/>
        </w:rPr>
        <w:t>Brookhart</w:t>
      </w:r>
      <w:proofErr w:type="spellEnd"/>
      <w:r w:rsidRPr="007D09CB">
        <w:rPr>
          <w:rFonts w:ascii="Open Sans" w:eastAsia="Calibri" w:hAnsi="Open Sans" w:cs="Open Sans"/>
          <w:sz w:val="20"/>
          <w:szCs w:val="20"/>
        </w:rPr>
        <w:t xml:space="preserve"> et al., 2016). Det finnes per i dag ingen nasjonale vurderingsverktøy for lærere. Derfor er lærere nødt til, på egen hånd, å utvikle forståelse for hvordan læreplanen kan operasjonaliseres til god undervisnings- og vurderingspraksis. Dette, og et trolig fravær av tolkningsfelleskap mellom lærere, gjør det viktig å satse på læreres læreplanforståelse og vurderingskompetanse. Dette tiltaket legger opp til en slik satsing. </w:t>
      </w:r>
    </w:p>
    <w:p w14:paraId="69395665" w14:textId="77777777" w:rsidR="007D09CB" w:rsidRPr="007D09CB" w:rsidRDefault="007D09CB" w:rsidP="007D09CB">
      <w:pPr>
        <w:spacing w:after="0" w:line="240" w:lineRule="auto"/>
        <w:rPr>
          <w:rFonts w:ascii="Open Sans" w:eastAsia="Calibri" w:hAnsi="Open Sans" w:cs="Open Sans"/>
          <w:sz w:val="20"/>
          <w:szCs w:val="20"/>
        </w:rPr>
      </w:pPr>
    </w:p>
    <w:p w14:paraId="57B4585A" w14:textId="77777777" w:rsidR="007D09CB" w:rsidRPr="007D09CB" w:rsidRDefault="007D09CB" w:rsidP="007D09CB">
      <w:pPr>
        <w:spacing w:after="0" w:line="240" w:lineRule="auto"/>
        <w:rPr>
          <w:rFonts w:ascii="Open Sans" w:eastAsia="Calibri" w:hAnsi="Open Sans" w:cs="Open Sans"/>
          <w:sz w:val="20"/>
          <w:szCs w:val="20"/>
        </w:rPr>
      </w:pPr>
      <w:r w:rsidRPr="007D09CB">
        <w:rPr>
          <w:rFonts w:ascii="Open Sans" w:eastAsia="Calibri" w:hAnsi="Open Sans" w:cs="Open Sans"/>
          <w:sz w:val="20"/>
          <w:szCs w:val="20"/>
        </w:rPr>
        <w:t xml:space="preserve">I sluttvurderingen skal lærere vurdere elevenes kompetanse ved avslutningen av opplæringen. Mens eksamen ofte diskuteres, og det finnes spesielle skoleringsordninger for sensorer, forventes lærere å håndtere standpunktvurderingen uten ekstra støtte. En rapport (Björnsson &amp; Skar, 2021) viste at det mangler et tolkningsfelleskap mellom sensorer i norsk. Det er rimelig å </w:t>
      </w:r>
      <w:r w:rsidRPr="007D09CB">
        <w:rPr>
          <w:rFonts w:ascii="Open Sans" w:eastAsia="Calibri" w:hAnsi="Open Sans" w:cs="Open Sans"/>
          <w:sz w:val="20"/>
          <w:szCs w:val="20"/>
        </w:rPr>
        <w:lastRenderedPageBreak/>
        <w:t>anta at om lærere ikke er enige om vurdering ved sensur av eksamen, så vil de heller ikke være det når det kommer til den mer omfattende standpunktvurderingen. Standpunktvurdering utgjør cirka 80 % av karakterene på et vitnemål.</w:t>
      </w:r>
      <w:r w:rsidRPr="007D09CB">
        <w:rPr>
          <w:rFonts w:ascii="Open Sans" w:eastAsia="Calibri" w:hAnsi="Open Sans" w:cs="Open Sans"/>
          <w:sz w:val="20"/>
          <w:szCs w:val="20"/>
          <w:vertAlign w:val="superscript"/>
        </w:rPr>
        <w:footnoteReference w:id="4"/>
      </w:r>
    </w:p>
    <w:p w14:paraId="3CAE519B" w14:textId="77777777" w:rsidR="007D09CB" w:rsidRPr="007D09CB" w:rsidRDefault="007D09CB" w:rsidP="007D09CB">
      <w:pPr>
        <w:spacing w:after="0" w:line="240" w:lineRule="auto"/>
        <w:rPr>
          <w:rFonts w:ascii="Open Sans" w:eastAsia="Calibri" w:hAnsi="Open Sans" w:cs="Open Sans"/>
          <w:sz w:val="20"/>
          <w:szCs w:val="20"/>
        </w:rPr>
      </w:pPr>
    </w:p>
    <w:p w14:paraId="067D8A25" w14:textId="77777777" w:rsidR="007D09CB" w:rsidRPr="007D09CB" w:rsidRDefault="007D09CB" w:rsidP="007D09CB">
      <w:pPr>
        <w:spacing w:after="0" w:line="240" w:lineRule="auto"/>
        <w:rPr>
          <w:rFonts w:ascii="Open Sans" w:eastAsia="Calibri" w:hAnsi="Open Sans" w:cs="Open Sans"/>
          <w:sz w:val="20"/>
          <w:szCs w:val="20"/>
        </w:rPr>
      </w:pPr>
      <w:r w:rsidRPr="007D09CB">
        <w:rPr>
          <w:rFonts w:ascii="Open Sans" w:eastAsia="Calibri" w:hAnsi="Open Sans" w:cs="Open Sans"/>
          <w:sz w:val="20"/>
          <w:szCs w:val="20"/>
        </w:rPr>
        <w:t>Vi vet også at de årlige sensorskoleringene og fagdagene som blir gjennomført i forbindelse med sentralt gitt eksamen, blir løftet fram som spesielt betydningsfulle for læreres profesjonelle utvikling. Sensorene opplever faglige drøftinger som viktige bidrag i utviklingen av egen vurderingspraksis. Mange tar med seg arbeidsform og tankegods fra disse samlingene tilbake til egen skole.</w:t>
      </w:r>
    </w:p>
    <w:p w14:paraId="192950F6" w14:textId="77777777" w:rsidR="007D09CB" w:rsidRPr="007D09CB" w:rsidRDefault="007D09CB" w:rsidP="007D09CB">
      <w:pPr>
        <w:spacing w:after="0" w:line="240" w:lineRule="auto"/>
        <w:rPr>
          <w:rFonts w:ascii="Open Sans" w:eastAsia="Calibri" w:hAnsi="Open Sans" w:cs="Open Sans"/>
          <w:sz w:val="20"/>
          <w:szCs w:val="20"/>
        </w:rPr>
      </w:pPr>
    </w:p>
    <w:p w14:paraId="6113A496" w14:textId="77777777" w:rsidR="007D09CB" w:rsidRPr="007D09CB" w:rsidRDefault="007D09CB" w:rsidP="007D09CB">
      <w:pPr>
        <w:spacing w:after="0" w:line="240" w:lineRule="auto"/>
        <w:rPr>
          <w:rFonts w:ascii="Open Sans" w:eastAsia="Calibri" w:hAnsi="Open Sans" w:cs="Open Sans"/>
          <w:sz w:val="20"/>
          <w:szCs w:val="20"/>
        </w:rPr>
      </w:pPr>
      <w:r w:rsidRPr="007D09CB">
        <w:rPr>
          <w:rFonts w:ascii="Open Sans" w:eastAsia="Calibri" w:hAnsi="Open Sans" w:cs="Open Sans"/>
          <w:sz w:val="20"/>
          <w:szCs w:val="20"/>
        </w:rPr>
        <w:t>Utdanningsdirektoratet fremhever at «formålet med vurdering er å fremme motivasjon for læring og bidra til utvikling underveis i opplæringen». Dermed har vurderingspraksis, sammen med planlegging og gjennomføring av undervisningstimene, en stor betydning for å fremme elevenes interesse for læring.  Undervisningen må legge til rette for og veilede elevenes læring slik at de kan mestre komplekse oppgaver.</w:t>
      </w:r>
    </w:p>
    <w:p w14:paraId="499E09AD" w14:textId="77777777" w:rsidR="007D09CB" w:rsidRPr="007D09CB" w:rsidRDefault="007D09CB" w:rsidP="007D09CB">
      <w:pPr>
        <w:spacing w:after="0" w:line="240" w:lineRule="auto"/>
        <w:rPr>
          <w:rFonts w:ascii="Open Sans" w:eastAsia="Calibri" w:hAnsi="Open Sans" w:cs="Open Sans"/>
          <w:b/>
          <w:sz w:val="20"/>
          <w:szCs w:val="20"/>
        </w:rPr>
      </w:pPr>
    </w:p>
    <w:p w14:paraId="4EE5FD00" w14:textId="77777777" w:rsidR="007D09CB" w:rsidRPr="007D09CB" w:rsidRDefault="007D09CB" w:rsidP="007D09CB">
      <w:pPr>
        <w:spacing w:after="0" w:line="240" w:lineRule="auto"/>
        <w:rPr>
          <w:rFonts w:ascii="Open Sans" w:eastAsia="Calibri" w:hAnsi="Open Sans" w:cs="Open Sans"/>
          <w:bCs/>
          <w:sz w:val="20"/>
          <w:szCs w:val="20"/>
        </w:rPr>
      </w:pPr>
      <w:r w:rsidRPr="007D09CB">
        <w:rPr>
          <w:rFonts w:ascii="Open Sans" w:eastAsia="Calibri" w:hAnsi="Open Sans" w:cs="Open Sans"/>
          <w:bCs/>
          <w:sz w:val="20"/>
          <w:szCs w:val="20"/>
        </w:rPr>
        <w:t>Undervegsvurdering i fag skal være en integrert del av opplæringa, og kan være både muntlig og skriftlig. All vurdering som skjer før avslutninga av opplæringa, er undervegsvurdering (Jf. § 9-11 i forskrift til opplæringsloven). Undervegsvurderingen skjer daglig i klasserommet, ved at elevene utvikler og viser kompetanse, og læreren gir tilbakemeldinger. Som støtte til undervegsvurdering, kan lærere bruke teksten «Undervegsvurdering», som ligger under kompetansemålene på trinn i læreplanen. Her står det beskrevet hvordan elevene utvikler og viser kompetanse, og hvordan læreren skal legge til rette for dette</w:t>
      </w:r>
      <w:r w:rsidRPr="007D09CB">
        <w:rPr>
          <w:rFonts w:ascii="Open Sans" w:eastAsia="Calibri" w:hAnsi="Open Sans" w:cs="Open Sans"/>
          <w:sz w:val="20"/>
          <w:szCs w:val="20"/>
        </w:rPr>
        <w:t xml:space="preserve"> (LK20). </w:t>
      </w:r>
    </w:p>
    <w:p w14:paraId="6827C9F5" w14:textId="77777777" w:rsidR="007D09CB" w:rsidRPr="007D09CB" w:rsidRDefault="007D09CB" w:rsidP="007D09CB">
      <w:pPr>
        <w:spacing w:after="0" w:line="240" w:lineRule="auto"/>
        <w:rPr>
          <w:rFonts w:ascii="Open Sans" w:eastAsia="Calibri" w:hAnsi="Open Sans" w:cs="Open Sans"/>
          <w:sz w:val="20"/>
          <w:szCs w:val="20"/>
        </w:rPr>
      </w:pPr>
    </w:p>
    <w:p w14:paraId="597B977D" w14:textId="77777777" w:rsidR="007D09CB" w:rsidRPr="007D09CB" w:rsidRDefault="007D09CB" w:rsidP="007D09CB">
      <w:pPr>
        <w:spacing w:after="0" w:line="240" w:lineRule="auto"/>
        <w:rPr>
          <w:rFonts w:ascii="Open Sans" w:eastAsia="Calibri" w:hAnsi="Open Sans" w:cs="Open Sans"/>
          <w:sz w:val="20"/>
          <w:szCs w:val="20"/>
        </w:rPr>
      </w:pPr>
      <w:r w:rsidRPr="007D09CB">
        <w:rPr>
          <w:rFonts w:ascii="Open Sans" w:eastAsia="Calibri" w:hAnsi="Open Sans" w:cs="Open Sans"/>
          <w:bCs/>
          <w:sz w:val="20"/>
          <w:szCs w:val="20"/>
        </w:rPr>
        <w:t>Undervegsvurdering innebærer at elevene skal få vite hva de mestrer og få veiledning om hvordan de må arbeide for å øke kompetansen sin. Elevene må forstå hva de skal lære og hva som blir forventet av dem for å kunne vurdere eget arbeid.</w:t>
      </w:r>
      <w:r w:rsidRPr="007D09CB">
        <w:rPr>
          <w:rFonts w:ascii="Open Sans" w:eastAsia="Calibri" w:hAnsi="Open Sans" w:cs="Open Sans"/>
          <w:sz w:val="20"/>
          <w:szCs w:val="20"/>
        </w:rPr>
        <w:t xml:space="preserve"> Med utgangspunkt i kompetansen elevene viser, skal de få mulighet til å sette ord på hva de opplever at de får til, og hva de får til bedre enn tidligere (jf. § 9-11 i forskrift til opplæringsloven).</w:t>
      </w:r>
    </w:p>
    <w:p w14:paraId="756F8E4B" w14:textId="77777777" w:rsidR="007D09CB" w:rsidRPr="007D09CB" w:rsidRDefault="007D09CB" w:rsidP="007D09CB">
      <w:pPr>
        <w:spacing w:after="0" w:line="240" w:lineRule="auto"/>
        <w:rPr>
          <w:rFonts w:ascii="Open Sans" w:eastAsia="Calibri" w:hAnsi="Open Sans" w:cs="Open Sans"/>
          <w:sz w:val="20"/>
          <w:szCs w:val="20"/>
        </w:rPr>
      </w:pPr>
    </w:p>
    <w:p w14:paraId="53B2C510" w14:textId="77777777" w:rsidR="007D09CB" w:rsidRPr="007D09CB" w:rsidRDefault="007D09CB" w:rsidP="007D09CB">
      <w:pPr>
        <w:spacing w:after="0" w:line="240" w:lineRule="auto"/>
        <w:rPr>
          <w:rFonts w:ascii="Open Sans" w:eastAsia="Calibri" w:hAnsi="Open Sans" w:cs="Open Sans"/>
          <w:b/>
          <w:bCs/>
          <w:sz w:val="20"/>
          <w:szCs w:val="20"/>
        </w:rPr>
      </w:pPr>
      <w:r w:rsidRPr="007D09CB">
        <w:rPr>
          <w:rFonts w:ascii="Open Sans" w:eastAsia="Calibri" w:hAnsi="Open Sans" w:cs="Open Sans"/>
          <w:b/>
          <w:bCs/>
          <w:sz w:val="20"/>
          <w:szCs w:val="20"/>
        </w:rPr>
        <w:t xml:space="preserve">2. Mål </w:t>
      </w:r>
    </w:p>
    <w:p w14:paraId="0C3ECD5C" w14:textId="77777777" w:rsidR="007D09CB" w:rsidRPr="007D09CB" w:rsidRDefault="007D09CB" w:rsidP="007D09CB">
      <w:pPr>
        <w:spacing w:after="0" w:line="240" w:lineRule="auto"/>
        <w:rPr>
          <w:rFonts w:ascii="Open Sans" w:eastAsia="Calibri" w:hAnsi="Open Sans" w:cs="Open Sans"/>
          <w:sz w:val="20"/>
          <w:szCs w:val="20"/>
        </w:rPr>
      </w:pPr>
      <w:r w:rsidRPr="007D09CB">
        <w:rPr>
          <w:rFonts w:ascii="Open Sans" w:eastAsia="Calibri" w:hAnsi="Open Sans" w:cs="Open Sans"/>
          <w:sz w:val="20"/>
          <w:szCs w:val="20"/>
        </w:rPr>
        <w:t xml:space="preserve">Målet med tiltaket er at </w:t>
      </w:r>
      <w:r w:rsidRPr="007D09CB">
        <w:rPr>
          <w:rFonts w:ascii="Open Sans" w:eastAsia="Calibri" w:hAnsi="Open Sans" w:cs="Open Sans"/>
          <w:sz w:val="20"/>
          <w:szCs w:val="20"/>
          <w:u w:val="single"/>
        </w:rPr>
        <w:t>lærere</w:t>
      </w:r>
      <w:r w:rsidRPr="007D09CB">
        <w:rPr>
          <w:rFonts w:ascii="Open Sans" w:eastAsia="Calibri" w:hAnsi="Open Sans" w:cs="Open Sans"/>
          <w:sz w:val="20"/>
          <w:szCs w:val="20"/>
        </w:rPr>
        <w:t xml:space="preserve"> skal utvikle en god læreplanforståelse, og at de skal kunne gjennomføre vurdering som er i tråd med intensjonene i forskrift og læreplan; slik at man kan møte alle elevgrupper bedre. Selv om tiltaket tar utgangspunkt i fagene norsk, matematikk og engelsk, kan det også bidra til en mer generisk forståelse av kompetansebegrepet i LK20 og vurdering etter gjeldende læreplaner i andre fag.</w:t>
      </w:r>
    </w:p>
    <w:p w14:paraId="6058EE07" w14:textId="77777777" w:rsidR="007D09CB" w:rsidRPr="007D09CB" w:rsidRDefault="007D09CB" w:rsidP="007D09CB">
      <w:pPr>
        <w:spacing w:after="0" w:line="240" w:lineRule="auto"/>
        <w:rPr>
          <w:rFonts w:ascii="Open Sans" w:eastAsia="Calibri" w:hAnsi="Open Sans" w:cs="Open Sans"/>
          <w:sz w:val="20"/>
          <w:szCs w:val="20"/>
        </w:rPr>
      </w:pPr>
      <w:r w:rsidRPr="007D09CB">
        <w:rPr>
          <w:rFonts w:ascii="Open Sans" w:eastAsia="Calibri" w:hAnsi="Open Sans" w:cs="Open Sans"/>
          <w:sz w:val="20"/>
          <w:szCs w:val="20"/>
        </w:rPr>
        <w:br/>
        <w:t xml:space="preserve">Det er også et mål at </w:t>
      </w:r>
      <w:r w:rsidRPr="007D09CB">
        <w:rPr>
          <w:rFonts w:ascii="Open Sans" w:eastAsia="Calibri" w:hAnsi="Open Sans" w:cs="Open Sans"/>
          <w:sz w:val="20"/>
          <w:szCs w:val="20"/>
          <w:u w:val="single"/>
        </w:rPr>
        <w:t>skolene</w:t>
      </w:r>
      <w:r w:rsidRPr="007D09CB">
        <w:rPr>
          <w:rFonts w:ascii="Open Sans" w:eastAsia="Calibri" w:hAnsi="Open Sans" w:cs="Open Sans"/>
          <w:sz w:val="20"/>
          <w:szCs w:val="20"/>
        </w:rPr>
        <w:t xml:space="preserve"> som deltar skal utvikle tolkningsfellesskapet sitt knyttet til læreplanforståelse og vurderingspraksis; både internt på skolene og mellom skoler.</w:t>
      </w:r>
    </w:p>
    <w:p w14:paraId="4EB077CE" w14:textId="77777777" w:rsidR="007D09CB" w:rsidRPr="007D09CB" w:rsidRDefault="007D09CB" w:rsidP="007D09CB">
      <w:pPr>
        <w:spacing w:after="0" w:line="240" w:lineRule="auto"/>
        <w:rPr>
          <w:rFonts w:ascii="Open Sans" w:eastAsia="Calibri" w:hAnsi="Open Sans" w:cs="Open Sans"/>
          <w:sz w:val="20"/>
          <w:szCs w:val="20"/>
        </w:rPr>
      </w:pPr>
    </w:p>
    <w:p w14:paraId="62F0FDF0" w14:textId="77777777" w:rsidR="007D09CB" w:rsidRPr="007D09CB" w:rsidRDefault="007D09CB" w:rsidP="007D09CB">
      <w:pPr>
        <w:spacing w:after="0" w:line="240" w:lineRule="auto"/>
        <w:rPr>
          <w:rFonts w:ascii="Open Sans" w:eastAsia="Calibri" w:hAnsi="Open Sans" w:cs="Open Sans"/>
          <w:b/>
          <w:bCs/>
          <w:sz w:val="20"/>
          <w:szCs w:val="20"/>
        </w:rPr>
      </w:pPr>
      <w:r w:rsidRPr="007D09CB">
        <w:rPr>
          <w:rFonts w:ascii="Open Sans" w:eastAsia="Calibri" w:hAnsi="Open Sans" w:cs="Open Sans"/>
          <w:b/>
          <w:bCs/>
          <w:sz w:val="20"/>
          <w:szCs w:val="20"/>
        </w:rPr>
        <w:t>3. Målgruppe</w:t>
      </w:r>
    </w:p>
    <w:p w14:paraId="524AD3CD" w14:textId="77777777" w:rsidR="007D09CB" w:rsidRPr="007D09CB" w:rsidRDefault="007D09CB" w:rsidP="007D09CB">
      <w:pPr>
        <w:spacing w:after="0" w:line="240" w:lineRule="auto"/>
        <w:rPr>
          <w:rFonts w:ascii="Open Sans" w:eastAsia="Calibri" w:hAnsi="Open Sans" w:cs="Open Sans"/>
          <w:sz w:val="20"/>
          <w:szCs w:val="20"/>
        </w:rPr>
      </w:pPr>
      <w:r w:rsidRPr="007D09CB">
        <w:rPr>
          <w:rFonts w:ascii="Open Sans" w:eastAsia="Calibri" w:hAnsi="Open Sans" w:cs="Open Sans"/>
          <w:sz w:val="20"/>
          <w:szCs w:val="20"/>
        </w:rPr>
        <w:t>Lærere i matematikk, engelsk og norsk på ungdomstrinnet. Skolene kan sende så mange faglærere de ønsker.</w:t>
      </w:r>
    </w:p>
    <w:p w14:paraId="1BAC43BB" w14:textId="77777777" w:rsidR="007D09CB" w:rsidRPr="007D09CB" w:rsidRDefault="007D09CB" w:rsidP="007D09CB">
      <w:pPr>
        <w:spacing w:after="0" w:line="240" w:lineRule="auto"/>
        <w:rPr>
          <w:rFonts w:ascii="Open Sans" w:eastAsia="Calibri" w:hAnsi="Open Sans" w:cs="Open Sans"/>
          <w:sz w:val="20"/>
          <w:szCs w:val="20"/>
        </w:rPr>
      </w:pPr>
    </w:p>
    <w:p w14:paraId="3AAF11C2" w14:textId="77777777" w:rsidR="007D09CB" w:rsidRPr="007D09CB" w:rsidRDefault="007D09CB" w:rsidP="007D09CB">
      <w:pPr>
        <w:spacing w:after="0" w:line="240" w:lineRule="auto"/>
        <w:rPr>
          <w:rFonts w:ascii="Open Sans" w:eastAsia="Calibri" w:hAnsi="Open Sans" w:cs="Open Sans"/>
          <w:b/>
          <w:bCs/>
          <w:sz w:val="20"/>
          <w:szCs w:val="20"/>
        </w:rPr>
      </w:pPr>
      <w:r w:rsidRPr="007D09CB">
        <w:rPr>
          <w:rFonts w:ascii="Open Sans" w:eastAsia="Calibri" w:hAnsi="Open Sans" w:cs="Open Sans"/>
          <w:b/>
          <w:bCs/>
          <w:sz w:val="20"/>
          <w:szCs w:val="20"/>
        </w:rPr>
        <w:t>4. Bidragsytere</w:t>
      </w:r>
    </w:p>
    <w:p w14:paraId="69491B7C" w14:textId="77777777" w:rsidR="007D09CB" w:rsidRPr="007D09CB" w:rsidRDefault="007D09CB" w:rsidP="007D09CB">
      <w:pPr>
        <w:spacing w:after="0" w:line="240" w:lineRule="auto"/>
        <w:rPr>
          <w:rFonts w:ascii="Open Sans" w:eastAsia="Calibri" w:hAnsi="Open Sans" w:cs="Open Sans"/>
          <w:sz w:val="20"/>
          <w:szCs w:val="20"/>
        </w:rPr>
      </w:pPr>
      <w:r w:rsidRPr="007D09CB">
        <w:rPr>
          <w:rFonts w:ascii="Open Sans" w:eastAsia="Calibri" w:hAnsi="Open Sans" w:cs="Open Sans"/>
          <w:sz w:val="20"/>
          <w:szCs w:val="20"/>
        </w:rPr>
        <w:t xml:space="preserve">NTNU ved Skrivesenteret og Matematikksenteret </w:t>
      </w:r>
    </w:p>
    <w:p w14:paraId="34B06659" w14:textId="41CD44BC" w:rsidR="007D09CB" w:rsidRPr="007D09CB" w:rsidRDefault="007D09CB" w:rsidP="007D09CB">
      <w:pPr>
        <w:spacing w:after="0" w:line="240" w:lineRule="auto"/>
        <w:rPr>
          <w:rFonts w:ascii="Open Sans" w:eastAsia="Calibri" w:hAnsi="Open Sans" w:cs="Open Sans"/>
          <w:b/>
          <w:bCs/>
          <w:sz w:val="20"/>
          <w:szCs w:val="20"/>
        </w:rPr>
      </w:pPr>
      <w:r w:rsidRPr="007D09CB">
        <w:rPr>
          <w:rFonts w:ascii="Open Sans" w:eastAsia="Calibri" w:hAnsi="Open Sans" w:cs="Open Sans"/>
          <w:sz w:val="20"/>
          <w:szCs w:val="20"/>
        </w:rPr>
        <w:t xml:space="preserve">Høgskolen i Østfold ved Fremmedspråksenteret  </w:t>
      </w:r>
      <w:r w:rsidRPr="007D09CB">
        <w:rPr>
          <w:rFonts w:ascii="Open Sans" w:eastAsia="Calibri" w:hAnsi="Open Sans" w:cs="Open Sans"/>
          <w:sz w:val="20"/>
          <w:szCs w:val="20"/>
        </w:rPr>
        <w:br/>
        <w:t>Statsforvalteren i Trøndelag</w:t>
      </w:r>
      <w:r w:rsidR="00000477">
        <w:rPr>
          <w:rFonts w:ascii="Open Sans" w:eastAsia="Calibri" w:hAnsi="Open Sans" w:cs="Open Sans"/>
          <w:sz w:val="20"/>
          <w:szCs w:val="20"/>
        </w:rPr>
        <w:br/>
      </w:r>
      <w:r w:rsidRPr="007D09CB">
        <w:rPr>
          <w:rFonts w:ascii="Open Sans" w:eastAsia="Calibri" w:hAnsi="Open Sans" w:cs="Open Sans"/>
          <w:sz w:val="20"/>
          <w:szCs w:val="20"/>
        </w:rPr>
        <w:lastRenderedPageBreak/>
        <w:br/>
      </w:r>
      <w:r w:rsidRPr="007D09CB">
        <w:rPr>
          <w:rFonts w:ascii="Open Sans" w:eastAsia="Calibri" w:hAnsi="Open Sans" w:cs="Open Sans"/>
          <w:b/>
          <w:bCs/>
          <w:sz w:val="20"/>
          <w:szCs w:val="20"/>
        </w:rPr>
        <w:t>5. Innhold</w:t>
      </w:r>
    </w:p>
    <w:p w14:paraId="6E53394C" w14:textId="77777777" w:rsidR="007D09CB" w:rsidRPr="007D09CB" w:rsidRDefault="007D09CB" w:rsidP="007D09CB">
      <w:pPr>
        <w:spacing w:after="0" w:line="240" w:lineRule="auto"/>
        <w:rPr>
          <w:rFonts w:ascii="Open Sans" w:eastAsia="Calibri" w:hAnsi="Open Sans" w:cs="Open Sans"/>
          <w:sz w:val="20"/>
          <w:szCs w:val="20"/>
        </w:rPr>
      </w:pPr>
      <w:r w:rsidRPr="007D09CB">
        <w:rPr>
          <w:rFonts w:ascii="Open Sans" w:eastAsia="Calibri" w:hAnsi="Open Sans" w:cs="Open Sans"/>
          <w:sz w:val="20"/>
          <w:szCs w:val="20"/>
        </w:rPr>
        <w:t xml:space="preserve">Lærerne skal opparbeide en bedre forståelse for hva god undervisning er ifølge læreplanen og hvordan det kan se ut i praksis. Gjennom utprøving, refleksjon og faglig samhandling skal skolene utvikle gyldige, pålitelige og rettferdige vurderingspraksiser. </w:t>
      </w:r>
    </w:p>
    <w:p w14:paraId="09CA1811" w14:textId="77777777" w:rsidR="007D09CB" w:rsidRPr="007D09CB" w:rsidRDefault="007D09CB" w:rsidP="007D09CB">
      <w:pPr>
        <w:spacing w:after="0" w:line="240" w:lineRule="auto"/>
        <w:rPr>
          <w:rFonts w:ascii="Open Sans" w:eastAsia="Calibri" w:hAnsi="Open Sans" w:cs="Open Sans"/>
          <w:sz w:val="20"/>
          <w:szCs w:val="20"/>
        </w:rPr>
      </w:pPr>
    </w:p>
    <w:p w14:paraId="2909F69B" w14:textId="77777777" w:rsidR="007D09CB" w:rsidRPr="007D09CB" w:rsidRDefault="007D09CB" w:rsidP="007D09CB">
      <w:pPr>
        <w:spacing w:after="0" w:line="240" w:lineRule="auto"/>
        <w:rPr>
          <w:rFonts w:ascii="Open Sans" w:eastAsia="Calibri" w:hAnsi="Open Sans" w:cs="Open Sans"/>
          <w:sz w:val="20"/>
          <w:szCs w:val="20"/>
        </w:rPr>
      </w:pPr>
    </w:p>
    <w:p w14:paraId="7E465526" w14:textId="77777777" w:rsidR="007D09CB" w:rsidRPr="007D09CB" w:rsidRDefault="007D09CB" w:rsidP="007D09CB">
      <w:pPr>
        <w:spacing w:after="0" w:line="240" w:lineRule="auto"/>
        <w:rPr>
          <w:rFonts w:ascii="Open Sans" w:eastAsia="Calibri" w:hAnsi="Open Sans" w:cs="Open Sans"/>
          <w:sz w:val="20"/>
          <w:szCs w:val="20"/>
          <w:u w:val="single"/>
        </w:rPr>
      </w:pPr>
      <w:r w:rsidRPr="007D09CB">
        <w:rPr>
          <w:rFonts w:ascii="Open Sans" w:eastAsia="Calibri" w:hAnsi="Open Sans" w:cs="Open Sans"/>
          <w:sz w:val="20"/>
          <w:szCs w:val="20"/>
          <w:u w:val="single"/>
        </w:rPr>
        <w:t>Overordnede temaer:</w:t>
      </w:r>
    </w:p>
    <w:p w14:paraId="6B3D7F86" w14:textId="77777777" w:rsidR="007D09CB" w:rsidRPr="007D09CB" w:rsidRDefault="007D09CB" w:rsidP="007D09CB">
      <w:pPr>
        <w:numPr>
          <w:ilvl w:val="0"/>
          <w:numId w:val="13"/>
        </w:numPr>
        <w:spacing w:after="0" w:line="240" w:lineRule="auto"/>
        <w:rPr>
          <w:rFonts w:ascii="Open Sans" w:eastAsia="Calibri" w:hAnsi="Open Sans" w:cs="Open Sans"/>
          <w:sz w:val="20"/>
          <w:szCs w:val="20"/>
        </w:rPr>
      </w:pPr>
      <w:r w:rsidRPr="007D09CB">
        <w:rPr>
          <w:rFonts w:ascii="Open Sans" w:eastAsia="Calibri" w:hAnsi="Open Sans" w:cs="Open Sans"/>
          <w:sz w:val="20"/>
          <w:szCs w:val="20"/>
        </w:rPr>
        <w:t>Læreplanforståelse</w:t>
      </w:r>
    </w:p>
    <w:p w14:paraId="31522719" w14:textId="77777777" w:rsidR="007D09CB" w:rsidRPr="007D09CB" w:rsidRDefault="007D09CB" w:rsidP="007D09CB">
      <w:pPr>
        <w:numPr>
          <w:ilvl w:val="0"/>
          <w:numId w:val="13"/>
        </w:numPr>
        <w:spacing w:after="0" w:line="240" w:lineRule="auto"/>
        <w:rPr>
          <w:rFonts w:ascii="Open Sans" w:eastAsia="Calibri" w:hAnsi="Open Sans" w:cs="Open Sans"/>
          <w:sz w:val="20"/>
          <w:szCs w:val="20"/>
        </w:rPr>
      </w:pPr>
      <w:r w:rsidRPr="007D09CB">
        <w:rPr>
          <w:rFonts w:ascii="Open Sans" w:eastAsia="Calibri" w:hAnsi="Open Sans" w:cs="Open Sans"/>
          <w:sz w:val="20"/>
          <w:szCs w:val="20"/>
        </w:rPr>
        <w:t>Kompetansebegrepet</w:t>
      </w:r>
    </w:p>
    <w:p w14:paraId="37B2C7D1" w14:textId="77777777" w:rsidR="007D09CB" w:rsidRPr="007D09CB" w:rsidRDefault="007D09CB" w:rsidP="007D09CB">
      <w:pPr>
        <w:numPr>
          <w:ilvl w:val="0"/>
          <w:numId w:val="13"/>
        </w:numPr>
        <w:spacing w:after="0" w:line="240" w:lineRule="auto"/>
        <w:rPr>
          <w:rFonts w:ascii="Open Sans" w:eastAsia="Calibri" w:hAnsi="Open Sans" w:cs="Open Sans"/>
          <w:sz w:val="20"/>
          <w:szCs w:val="20"/>
        </w:rPr>
      </w:pPr>
      <w:r w:rsidRPr="007D09CB">
        <w:rPr>
          <w:rFonts w:ascii="Open Sans" w:eastAsia="Calibri" w:hAnsi="Open Sans" w:cs="Open Sans"/>
          <w:sz w:val="20"/>
          <w:szCs w:val="20"/>
        </w:rPr>
        <w:t>Operasjonalisering av kompetansemål</w:t>
      </w:r>
    </w:p>
    <w:p w14:paraId="60A87FAE" w14:textId="77777777" w:rsidR="007D09CB" w:rsidRPr="007D09CB" w:rsidRDefault="007D09CB" w:rsidP="007D09CB">
      <w:pPr>
        <w:numPr>
          <w:ilvl w:val="0"/>
          <w:numId w:val="13"/>
        </w:numPr>
        <w:spacing w:after="0" w:line="240" w:lineRule="auto"/>
        <w:rPr>
          <w:rFonts w:ascii="Open Sans" w:eastAsia="Calibri" w:hAnsi="Open Sans" w:cs="Open Sans"/>
          <w:sz w:val="20"/>
          <w:szCs w:val="20"/>
        </w:rPr>
      </w:pPr>
      <w:r w:rsidRPr="007D09CB">
        <w:rPr>
          <w:rFonts w:ascii="Open Sans" w:eastAsia="Calibri" w:hAnsi="Open Sans" w:cs="Open Sans"/>
          <w:sz w:val="20"/>
          <w:szCs w:val="20"/>
        </w:rPr>
        <w:t xml:space="preserve">Kjennetegn på kompetanse i fagene. </w:t>
      </w:r>
    </w:p>
    <w:p w14:paraId="3B371F7C" w14:textId="77777777" w:rsidR="007D09CB" w:rsidRPr="007D09CB" w:rsidRDefault="007D09CB" w:rsidP="007D09CB">
      <w:pPr>
        <w:numPr>
          <w:ilvl w:val="0"/>
          <w:numId w:val="13"/>
        </w:numPr>
        <w:spacing w:after="0" w:line="240" w:lineRule="auto"/>
        <w:rPr>
          <w:rFonts w:ascii="Open Sans" w:eastAsia="Calibri" w:hAnsi="Open Sans" w:cs="Open Sans"/>
          <w:sz w:val="20"/>
          <w:szCs w:val="20"/>
        </w:rPr>
      </w:pPr>
      <w:r w:rsidRPr="007D09CB">
        <w:rPr>
          <w:rFonts w:ascii="Open Sans" w:eastAsia="Calibri" w:hAnsi="Open Sans" w:cs="Open Sans"/>
          <w:sz w:val="20"/>
          <w:szCs w:val="20"/>
        </w:rPr>
        <w:t>God undervisning for god vurdering</w:t>
      </w:r>
    </w:p>
    <w:p w14:paraId="4CBFB9C1" w14:textId="77777777" w:rsidR="007D09CB" w:rsidRPr="007D09CB" w:rsidRDefault="007D09CB" w:rsidP="007D09CB">
      <w:pPr>
        <w:numPr>
          <w:ilvl w:val="0"/>
          <w:numId w:val="13"/>
        </w:numPr>
        <w:spacing w:after="0" w:line="240" w:lineRule="auto"/>
        <w:rPr>
          <w:rFonts w:ascii="Open Sans" w:eastAsia="Calibri" w:hAnsi="Open Sans" w:cs="Open Sans"/>
          <w:sz w:val="20"/>
          <w:szCs w:val="20"/>
        </w:rPr>
      </w:pPr>
      <w:r w:rsidRPr="007D09CB">
        <w:rPr>
          <w:rFonts w:ascii="Open Sans" w:eastAsia="Calibri" w:hAnsi="Open Sans" w:cs="Open Sans"/>
          <w:sz w:val="20"/>
          <w:szCs w:val="20"/>
        </w:rPr>
        <w:t xml:space="preserve">Samarbeid og underveisvurdering. </w:t>
      </w:r>
    </w:p>
    <w:p w14:paraId="7245F58E" w14:textId="77777777" w:rsidR="007D09CB" w:rsidRPr="007D09CB" w:rsidRDefault="007D09CB" w:rsidP="007D09CB">
      <w:pPr>
        <w:numPr>
          <w:ilvl w:val="0"/>
          <w:numId w:val="13"/>
        </w:numPr>
        <w:spacing w:after="0" w:line="240" w:lineRule="auto"/>
        <w:rPr>
          <w:rFonts w:ascii="Open Sans" w:eastAsia="Calibri" w:hAnsi="Open Sans" w:cs="Open Sans"/>
          <w:sz w:val="20"/>
          <w:szCs w:val="20"/>
        </w:rPr>
      </w:pPr>
      <w:r w:rsidRPr="007D09CB">
        <w:rPr>
          <w:rFonts w:ascii="Open Sans" w:eastAsia="Calibri" w:hAnsi="Open Sans" w:cs="Open Sans"/>
          <w:sz w:val="20"/>
          <w:szCs w:val="20"/>
        </w:rPr>
        <w:t xml:space="preserve">Egenvurdering og elevmedvirkning. </w:t>
      </w:r>
    </w:p>
    <w:p w14:paraId="00EA3DA1" w14:textId="77777777" w:rsidR="007D09CB" w:rsidRPr="007D09CB" w:rsidRDefault="007D09CB" w:rsidP="007D09CB">
      <w:pPr>
        <w:numPr>
          <w:ilvl w:val="0"/>
          <w:numId w:val="13"/>
        </w:numPr>
        <w:spacing w:after="0" w:line="240" w:lineRule="auto"/>
        <w:rPr>
          <w:rFonts w:ascii="Open Sans" w:eastAsia="Calibri" w:hAnsi="Open Sans" w:cs="Open Sans"/>
          <w:sz w:val="20"/>
          <w:szCs w:val="20"/>
        </w:rPr>
      </w:pPr>
      <w:r w:rsidRPr="007D09CB">
        <w:rPr>
          <w:rFonts w:ascii="Open Sans" w:eastAsia="Calibri" w:hAnsi="Open Sans" w:cs="Open Sans"/>
          <w:sz w:val="20"/>
          <w:szCs w:val="20"/>
        </w:rPr>
        <w:t xml:space="preserve">Sluttvurdering. </w:t>
      </w:r>
    </w:p>
    <w:p w14:paraId="354AF27A" w14:textId="77777777" w:rsidR="007D09CB" w:rsidRPr="007D09CB" w:rsidRDefault="007D09CB" w:rsidP="007D09CB">
      <w:pPr>
        <w:numPr>
          <w:ilvl w:val="0"/>
          <w:numId w:val="13"/>
        </w:numPr>
        <w:spacing w:after="0" w:line="240" w:lineRule="auto"/>
        <w:rPr>
          <w:rFonts w:ascii="Open Sans" w:eastAsia="Calibri" w:hAnsi="Open Sans" w:cs="Open Sans"/>
          <w:sz w:val="20"/>
          <w:szCs w:val="20"/>
        </w:rPr>
      </w:pPr>
      <w:r w:rsidRPr="007D09CB">
        <w:rPr>
          <w:rFonts w:ascii="Open Sans" w:eastAsia="Calibri" w:hAnsi="Open Sans" w:cs="Open Sans"/>
          <w:sz w:val="20"/>
          <w:szCs w:val="20"/>
        </w:rPr>
        <w:t xml:space="preserve">Klagebehandling av standpunktvurdering. </w:t>
      </w:r>
    </w:p>
    <w:p w14:paraId="1744F383" w14:textId="77777777" w:rsidR="007D09CB" w:rsidRPr="007D09CB" w:rsidRDefault="007D09CB" w:rsidP="007D09CB">
      <w:pPr>
        <w:spacing w:after="0" w:line="240" w:lineRule="auto"/>
        <w:rPr>
          <w:rFonts w:ascii="Open Sans" w:eastAsia="Calibri" w:hAnsi="Open Sans" w:cs="Open Sans"/>
          <w:sz w:val="20"/>
          <w:szCs w:val="20"/>
        </w:rPr>
      </w:pPr>
    </w:p>
    <w:p w14:paraId="4B3EA89E" w14:textId="77777777" w:rsidR="007D09CB" w:rsidRPr="007D09CB" w:rsidRDefault="007D09CB" w:rsidP="007D09CB">
      <w:pPr>
        <w:spacing w:after="0" w:line="240" w:lineRule="auto"/>
        <w:rPr>
          <w:rFonts w:ascii="Open Sans" w:eastAsia="Calibri" w:hAnsi="Open Sans" w:cs="Open Sans"/>
          <w:b/>
          <w:bCs/>
          <w:sz w:val="20"/>
          <w:szCs w:val="20"/>
        </w:rPr>
      </w:pPr>
      <w:r w:rsidRPr="007D09CB">
        <w:rPr>
          <w:rFonts w:ascii="Open Sans" w:eastAsia="Calibri" w:hAnsi="Open Sans" w:cs="Open Sans"/>
          <w:sz w:val="20"/>
          <w:szCs w:val="20"/>
        </w:rPr>
        <w:t xml:space="preserve">Temaene på samlingene er samordnet, slik at innholdet på de ulike samlingene belyser liknende problemstillinger både i engelsk, matematikk og norsk. </w:t>
      </w:r>
      <w:r w:rsidRPr="007D09CB">
        <w:rPr>
          <w:rFonts w:ascii="Open Sans" w:eastAsia="Calibri" w:hAnsi="Open Sans" w:cs="Open Sans"/>
          <w:sz w:val="20"/>
          <w:szCs w:val="20"/>
        </w:rPr>
        <w:br/>
      </w:r>
      <w:r w:rsidRPr="007D09CB">
        <w:rPr>
          <w:rFonts w:ascii="Open Sans" w:eastAsia="Calibri" w:hAnsi="Open Sans" w:cs="Open Sans"/>
          <w:sz w:val="20"/>
          <w:szCs w:val="20"/>
        </w:rPr>
        <w:br/>
      </w:r>
      <w:r w:rsidRPr="007D09CB">
        <w:rPr>
          <w:rFonts w:ascii="Open Sans" w:eastAsia="Calibri" w:hAnsi="Open Sans" w:cs="Open Sans"/>
          <w:b/>
          <w:bCs/>
          <w:sz w:val="20"/>
          <w:szCs w:val="20"/>
        </w:rPr>
        <w:t>6. Varighet og tidslinje i pulje 2</w:t>
      </w:r>
      <w:r w:rsidRPr="007D09CB">
        <w:rPr>
          <w:rFonts w:ascii="Open Sans" w:eastAsia="Calibri" w:hAnsi="Open Sans" w:cs="Open Sans"/>
          <w:b/>
          <w:bCs/>
          <w:sz w:val="20"/>
          <w:szCs w:val="20"/>
        </w:rPr>
        <w:br/>
      </w:r>
    </w:p>
    <w:p w14:paraId="3DD78430" w14:textId="77777777" w:rsidR="007D09CB" w:rsidRPr="007D09CB" w:rsidRDefault="007D09CB" w:rsidP="007D09CB">
      <w:pPr>
        <w:numPr>
          <w:ilvl w:val="0"/>
          <w:numId w:val="12"/>
        </w:numPr>
        <w:spacing w:after="0" w:line="240" w:lineRule="auto"/>
        <w:rPr>
          <w:rFonts w:ascii="Open Sans" w:eastAsia="Calibri" w:hAnsi="Open Sans" w:cs="Open Sans"/>
          <w:sz w:val="20"/>
          <w:szCs w:val="20"/>
        </w:rPr>
      </w:pPr>
      <w:r w:rsidRPr="007D09CB">
        <w:rPr>
          <w:rFonts w:ascii="Open Sans" w:eastAsia="Calibri" w:hAnsi="Open Sans" w:cs="Open Sans"/>
          <w:sz w:val="20"/>
          <w:szCs w:val="20"/>
        </w:rPr>
        <w:t>Lokal kartlegging og forankring - vår 2024</w:t>
      </w:r>
    </w:p>
    <w:p w14:paraId="0FF6EBE0" w14:textId="77777777" w:rsidR="007D09CB" w:rsidRPr="007D09CB" w:rsidRDefault="007D09CB" w:rsidP="007D09CB">
      <w:pPr>
        <w:numPr>
          <w:ilvl w:val="0"/>
          <w:numId w:val="12"/>
        </w:numPr>
        <w:spacing w:after="0" w:line="240" w:lineRule="auto"/>
        <w:rPr>
          <w:rFonts w:ascii="Open Sans" w:eastAsia="Calibri" w:hAnsi="Open Sans" w:cs="Open Sans"/>
          <w:sz w:val="20"/>
          <w:szCs w:val="20"/>
        </w:rPr>
      </w:pPr>
      <w:r w:rsidRPr="007D09CB">
        <w:rPr>
          <w:rFonts w:ascii="Open Sans" w:eastAsia="Calibri" w:hAnsi="Open Sans" w:cs="Open Sans"/>
          <w:sz w:val="20"/>
          <w:szCs w:val="20"/>
        </w:rPr>
        <w:t>Samlinger for ressurslærere høst 2024 til og med høsten 2025</w:t>
      </w:r>
    </w:p>
    <w:p w14:paraId="0EC399F7" w14:textId="77777777" w:rsidR="007D09CB" w:rsidRPr="007D09CB" w:rsidRDefault="007D09CB" w:rsidP="007D09CB">
      <w:pPr>
        <w:spacing w:after="0" w:line="240" w:lineRule="auto"/>
        <w:rPr>
          <w:rFonts w:ascii="Open Sans" w:eastAsia="Calibri" w:hAnsi="Open Sans" w:cs="Open Sans"/>
          <w:sz w:val="20"/>
          <w:szCs w:val="20"/>
        </w:rPr>
      </w:pPr>
    </w:p>
    <w:p w14:paraId="00F644F1" w14:textId="77777777" w:rsidR="007D09CB" w:rsidRPr="007D09CB" w:rsidRDefault="007D09CB" w:rsidP="007D09CB">
      <w:pPr>
        <w:spacing w:after="0" w:line="240" w:lineRule="auto"/>
        <w:rPr>
          <w:rFonts w:ascii="Open Sans" w:eastAsia="Calibri" w:hAnsi="Open Sans" w:cs="Open Sans"/>
          <w:sz w:val="20"/>
          <w:szCs w:val="20"/>
        </w:rPr>
      </w:pPr>
      <w:r w:rsidRPr="007D09CB">
        <w:rPr>
          <w:rFonts w:ascii="Open Sans" w:eastAsia="Calibri" w:hAnsi="Open Sans" w:cs="Open Sans"/>
          <w:sz w:val="20"/>
          <w:szCs w:val="20"/>
        </w:rPr>
        <w:t xml:space="preserve">Deretter blir det et tilbud om én årlig samling, der deltakere fra begge puljene kan melde seg på. Den årlige samlingen organiseres på to steder (én i norddelen og én i sørdelen av fylket). </w:t>
      </w:r>
    </w:p>
    <w:p w14:paraId="02BF8B79" w14:textId="77777777" w:rsidR="007D09CB" w:rsidRPr="007D09CB" w:rsidRDefault="007D09CB" w:rsidP="007D09CB">
      <w:pPr>
        <w:spacing w:after="0" w:line="240" w:lineRule="auto"/>
        <w:rPr>
          <w:rFonts w:ascii="Open Sans" w:eastAsia="Calibri" w:hAnsi="Open Sans" w:cs="Open Sans"/>
          <w:sz w:val="20"/>
          <w:szCs w:val="20"/>
        </w:rPr>
      </w:pPr>
    </w:p>
    <w:p w14:paraId="09566419" w14:textId="77777777" w:rsidR="007D09CB" w:rsidRPr="007D09CB" w:rsidRDefault="007D09CB" w:rsidP="007D09CB">
      <w:pPr>
        <w:spacing w:after="0" w:line="240" w:lineRule="auto"/>
        <w:rPr>
          <w:rFonts w:ascii="Open Sans" w:eastAsia="Calibri" w:hAnsi="Open Sans" w:cs="Open Sans"/>
          <w:sz w:val="20"/>
          <w:szCs w:val="20"/>
        </w:rPr>
      </w:pPr>
    </w:p>
    <w:p w14:paraId="524AC877" w14:textId="77777777" w:rsidR="007D09CB" w:rsidRPr="007D09CB" w:rsidRDefault="007D09CB" w:rsidP="007D09CB">
      <w:pPr>
        <w:spacing w:after="0" w:line="240" w:lineRule="auto"/>
        <w:rPr>
          <w:rFonts w:ascii="Open Sans" w:eastAsia="Calibri" w:hAnsi="Open Sans" w:cs="Open Sans"/>
          <w:b/>
          <w:bCs/>
          <w:sz w:val="20"/>
          <w:szCs w:val="20"/>
        </w:rPr>
      </w:pPr>
      <w:r w:rsidRPr="007D09CB">
        <w:rPr>
          <w:rFonts w:ascii="Open Sans" w:eastAsia="Calibri" w:hAnsi="Open Sans" w:cs="Open Sans"/>
          <w:b/>
          <w:bCs/>
          <w:sz w:val="20"/>
          <w:szCs w:val="20"/>
        </w:rPr>
        <w:t xml:space="preserve">7. Organisering  </w:t>
      </w:r>
    </w:p>
    <w:p w14:paraId="19F96355" w14:textId="77777777" w:rsidR="007D09CB" w:rsidRPr="007D09CB" w:rsidRDefault="007D09CB" w:rsidP="007D09CB">
      <w:pPr>
        <w:spacing w:after="0" w:line="240" w:lineRule="auto"/>
        <w:rPr>
          <w:rFonts w:ascii="Open Sans" w:eastAsia="Calibri" w:hAnsi="Open Sans" w:cs="Open Sans"/>
          <w:sz w:val="20"/>
          <w:szCs w:val="20"/>
        </w:rPr>
      </w:pPr>
      <w:r w:rsidRPr="007D09CB">
        <w:rPr>
          <w:rFonts w:ascii="Open Sans" w:eastAsia="Calibri" w:hAnsi="Open Sans" w:cs="Open Sans"/>
          <w:sz w:val="20"/>
          <w:szCs w:val="20"/>
        </w:rPr>
        <w:t xml:space="preserve">Skoler som deltar i tiltaket, forplikter seg til å sende ressurslærere (ideelt minst to per fag) og én representant fra skoleledelsen på alle samlingene. Sammen utgjør de en ressursgruppe som har ansvar for å dele faglig innhold fra samlingene til resten av faggruppa på skolen og legge til rette for utprøving og refleksjon mellom samlingene. </w:t>
      </w:r>
      <w:r w:rsidRPr="007D09CB">
        <w:rPr>
          <w:rFonts w:ascii="Open Sans" w:eastAsia="Calibri" w:hAnsi="Open Sans" w:cs="Open Sans"/>
          <w:sz w:val="20"/>
          <w:szCs w:val="20"/>
        </w:rPr>
        <w:br/>
      </w:r>
      <w:r w:rsidRPr="007D09CB">
        <w:rPr>
          <w:rFonts w:ascii="Open Sans" w:eastAsia="Calibri" w:hAnsi="Open Sans" w:cs="Open Sans"/>
          <w:sz w:val="20"/>
          <w:szCs w:val="20"/>
        </w:rPr>
        <w:br/>
        <w:t xml:space="preserve">For at tiltaket skal få best mulig virkning, bør ressursgruppa så langt som det er mulig, bestå av de samme personene gjennom hele tiltaksperioden. </w:t>
      </w:r>
      <w:r w:rsidRPr="007D09CB">
        <w:rPr>
          <w:rFonts w:ascii="Open Sans" w:eastAsia="Calibri" w:hAnsi="Open Sans" w:cs="Open Sans"/>
          <w:sz w:val="20"/>
          <w:szCs w:val="20"/>
        </w:rPr>
        <w:br/>
      </w:r>
    </w:p>
    <w:p w14:paraId="0F64760B" w14:textId="77777777" w:rsidR="007D09CB" w:rsidRPr="007D09CB" w:rsidRDefault="007D09CB" w:rsidP="007D09CB">
      <w:pPr>
        <w:spacing w:after="0" w:line="240" w:lineRule="auto"/>
        <w:rPr>
          <w:rFonts w:ascii="Open Sans" w:eastAsia="Calibri" w:hAnsi="Open Sans" w:cs="Open Sans"/>
          <w:sz w:val="20"/>
          <w:szCs w:val="20"/>
        </w:rPr>
      </w:pPr>
      <w:r w:rsidRPr="007D09CB">
        <w:rPr>
          <w:rFonts w:ascii="Open Sans" w:eastAsia="Calibri" w:hAnsi="Open Sans" w:cs="Open Sans"/>
          <w:sz w:val="20"/>
          <w:szCs w:val="20"/>
          <w:u w:val="single"/>
        </w:rPr>
        <w:t>Oppstart og forankring</w:t>
      </w:r>
      <w:r w:rsidRPr="007D09CB">
        <w:rPr>
          <w:rFonts w:ascii="Open Sans" w:eastAsia="Calibri" w:hAnsi="Open Sans" w:cs="Open Sans"/>
          <w:sz w:val="20"/>
          <w:szCs w:val="20"/>
        </w:rPr>
        <w:br/>
        <w:t xml:space="preserve">31. januar 2024, ble det gjennomført digitalt infomøte for nettverkskoordinatorer, ledelse, lærere og andre interesserte fra skoler som </w:t>
      </w:r>
      <w:r w:rsidRPr="007D09CB">
        <w:rPr>
          <w:rFonts w:ascii="Open Sans" w:eastAsia="Calibri" w:hAnsi="Open Sans" w:cs="Open Sans"/>
          <w:sz w:val="20"/>
          <w:szCs w:val="20"/>
          <w:u w:val="single"/>
        </w:rPr>
        <w:t>vurderte</w:t>
      </w:r>
      <w:r w:rsidRPr="007D09CB">
        <w:rPr>
          <w:rFonts w:ascii="Open Sans" w:eastAsia="Calibri" w:hAnsi="Open Sans" w:cs="Open Sans"/>
          <w:sz w:val="20"/>
          <w:szCs w:val="20"/>
        </w:rPr>
        <w:t xml:space="preserve"> å delta i pulje 2 av tiltaket. Deretter ble de som ønsket å delta, bedt om å sende en søknad der følgende punkt ble besvart:</w:t>
      </w:r>
    </w:p>
    <w:p w14:paraId="1C114663" w14:textId="77777777" w:rsidR="007D09CB" w:rsidRPr="007D09CB" w:rsidRDefault="007D09CB" w:rsidP="007D09CB">
      <w:pPr>
        <w:spacing w:after="0" w:line="240" w:lineRule="auto"/>
        <w:rPr>
          <w:rFonts w:ascii="Open Sans" w:eastAsia="Calibri" w:hAnsi="Open Sans" w:cs="Open Sans"/>
          <w:sz w:val="20"/>
          <w:szCs w:val="20"/>
        </w:rPr>
      </w:pPr>
    </w:p>
    <w:p w14:paraId="5DC5F4E4" w14:textId="77777777" w:rsidR="007D09CB" w:rsidRPr="007D09CB" w:rsidRDefault="007D09CB" w:rsidP="007D09CB">
      <w:pPr>
        <w:numPr>
          <w:ilvl w:val="0"/>
          <w:numId w:val="11"/>
        </w:numPr>
        <w:spacing w:after="0" w:line="240" w:lineRule="auto"/>
        <w:rPr>
          <w:rFonts w:ascii="Open Sans" w:eastAsia="Calibri" w:hAnsi="Open Sans" w:cs="Open Sans"/>
          <w:sz w:val="20"/>
          <w:szCs w:val="20"/>
        </w:rPr>
      </w:pPr>
      <w:r w:rsidRPr="007D09CB">
        <w:rPr>
          <w:rFonts w:ascii="Open Sans" w:eastAsia="Calibri" w:hAnsi="Open Sans" w:cs="Open Sans"/>
          <w:sz w:val="20"/>
          <w:szCs w:val="20"/>
        </w:rPr>
        <w:t>Navn på skolen</w:t>
      </w:r>
    </w:p>
    <w:p w14:paraId="0E50C020" w14:textId="77777777" w:rsidR="007D09CB" w:rsidRPr="007D09CB" w:rsidRDefault="007D09CB" w:rsidP="007D09CB">
      <w:pPr>
        <w:numPr>
          <w:ilvl w:val="0"/>
          <w:numId w:val="11"/>
        </w:numPr>
        <w:spacing w:after="0" w:line="240" w:lineRule="auto"/>
        <w:rPr>
          <w:rFonts w:ascii="Open Sans" w:eastAsia="Calibri" w:hAnsi="Open Sans" w:cs="Open Sans"/>
          <w:sz w:val="20"/>
          <w:szCs w:val="20"/>
        </w:rPr>
      </w:pPr>
      <w:r w:rsidRPr="007D09CB">
        <w:rPr>
          <w:rFonts w:ascii="Open Sans" w:eastAsia="Calibri" w:hAnsi="Open Sans" w:cs="Open Sans"/>
          <w:sz w:val="20"/>
          <w:szCs w:val="20"/>
        </w:rPr>
        <w:t>Hvilke(t) fag skolen ønsker å delta på. (Det anbefales at skolen deltar på både matematikk, norsk og engelsk, men det er åpning for å bare delta på enkelte av fagene også om skolen kommer fram til at dette er mer hensiktsmessig.)</w:t>
      </w:r>
    </w:p>
    <w:p w14:paraId="4AE73150" w14:textId="77777777" w:rsidR="007D09CB" w:rsidRPr="007D09CB" w:rsidRDefault="007D09CB" w:rsidP="007D09CB">
      <w:pPr>
        <w:numPr>
          <w:ilvl w:val="0"/>
          <w:numId w:val="11"/>
        </w:numPr>
        <w:spacing w:after="0" w:line="240" w:lineRule="auto"/>
        <w:rPr>
          <w:rFonts w:ascii="Open Sans" w:eastAsia="Calibri" w:hAnsi="Open Sans" w:cs="Open Sans"/>
          <w:sz w:val="20"/>
          <w:szCs w:val="20"/>
        </w:rPr>
      </w:pPr>
      <w:r w:rsidRPr="007D09CB">
        <w:rPr>
          <w:rFonts w:ascii="Open Sans" w:eastAsia="Calibri" w:hAnsi="Open Sans" w:cs="Open Sans"/>
          <w:sz w:val="20"/>
          <w:szCs w:val="20"/>
        </w:rPr>
        <w:t xml:space="preserve">Navn og epostadresse til representant fra ledelsen og ressurslærere som deltar på satsinga fra de ulike fagene. </w:t>
      </w:r>
    </w:p>
    <w:p w14:paraId="225BB1EA" w14:textId="77777777" w:rsidR="007D09CB" w:rsidRPr="007D09CB" w:rsidRDefault="007D09CB" w:rsidP="007D09CB">
      <w:pPr>
        <w:numPr>
          <w:ilvl w:val="0"/>
          <w:numId w:val="11"/>
        </w:numPr>
        <w:spacing w:after="0" w:line="240" w:lineRule="auto"/>
        <w:rPr>
          <w:rFonts w:ascii="Open Sans" w:eastAsia="Calibri" w:hAnsi="Open Sans" w:cs="Open Sans"/>
          <w:sz w:val="20"/>
          <w:szCs w:val="20"/>
        </w:rPr>
      </w:pPr>
      <w:r w:rsidRPr="007D09CB">
        <w:rPr>
          <w:rFonts w:ascii="Open Sans" w:eastAsia="Calibri" w:hAnsi="Open Sans" w:cs="Open Sans"/>
          <w:sz w:val="20"/>
          <w:szCs w:val="20"/>
        </w:rPr>
        <w:t xml:space="preserve">Kort beskrivelse av prosessen for forankring og forberedelse for deltakelse i tiltaket. </w:t>
      </w:r>
    </w:p>
    <w:p w14:paraId="32C52E68" w14:textId="77777777" w:rsidR="007D09CB" w:rsidRPr="007D09CB" w:rsidRDefault="007D09CB" w:rsidP="007D09CB">
      <w:pPr>
        <w:numPr>
          <w:ilvl w:val="0"/>
          <w:numId w:val="11"/>
        </w:numPr>
        <w:spacing w:after="0" w:line="240" w:lineRule="auto"/>
        <w:rPr>
          <w:rFonts w:ascii="Open Sans" w:eastAsia="Calibri" w:hAnsi="Open Sans" w:cs="Open Sans"/>
          <w:sz w:val="20"/>
          <w:szCs w:val="20"/>
        </w:rPr>
      </w:pPr>
      <w:r w:rsidRPr="007D09CB">
        <w:rPr>
          <w:rFonts w:ascii="Open Sans" w:eastAsia="Calibri" w:hAnsi="Open Sans" w:cs="Open Sans"/>
          <w:sz w:val="20"/>
          <w:szCs w:val="20"/>
        </w:rPr>
        <w:lastRenderedPageBreak/>
        <w:t xml:space="preserve">Datoer for gjennomføring av fagsamling og erfaringsdeling på skolen høsten 2024. </w:t>
      </w:r>
    </w:p>
    <w:p w14:paraId="519221CC" w14:textId="77777777" w:rsidR="007D09CB" w:rsidRPr="007D09CB" w:rsidRDefault="007D09CB" w:rsidP="007D09CB">
      <w:pPr>
        <w:numPr>
          <w:ilvl w:val="0"/>
          <w:numId w:val="11"/>
        </w:numPr>
        <w:spacing w:after="0" w:line="240" w:lineRule="auto"/>
        <w:rPr>
          <w:rFonts w:ascii="Open Sans" w:eastAsia="Calibri" w:hAnsi="Open Sans" w:cs="Open Sans"/>
          <w:sz w:val="20"/>
          <w:szCs w:val="20"/>
        </w:rPr>
      </w:pPr>
      <w:r w:rsidRPr="007D09CB">
        <w:rPr>
          <w:rFonts w:ascii="Open Sans" w:eastAsia="Calibri" w:hAnsi="Open Sans" w:cs="Open Sans"/>
          <w:sz w:val="20"/>
          <w:szCs w:val="20"/>
        </w:rPr>
        <w:t>Kort skisse for arbeidet som skal foregå lokalt mellom samlingene fram til høst 2025.</w:t>
      </w:r>
    </w:p>
    <w:p w14:paraId="6E277D07" w14:textId="77777777" w:rsidR="007D09CB" w:rsidRPr="007D09CB" w:rsidRDefault="007D09CB" w:rsidP="007D09CB">
      <w:pPr>
        <w:spacing w:after="0" w:line="240" w:lineRule="auto"/>
        <w:rPr>
          <w:rFonts w:ascii="Open Sans" w:eastAsia="Calibri" w:hAnsi="Open Sans" w:cs="Open Sans"/>
          <w:sz w:val="20"/>
          <w:szCs w:val="20"/>
        </w:rPr>
      </w:pPr>
      <w:r w:rsidRPr="007D09CB">
        <w:rPr>
          <w:rFonts w:ascii="Open Sans" w:eastAsia="Calibri" w:hAnsi="Open Sans" w:cs="Open Sans"/>
          <w:sz w:val="20"/>
          <w:szCs w:val="20"/>
        </w:rPr>
        <w:br/>
      </w:r>
      <w:r w:rsidRPr="007D09CB">
        <w:rPr>
          <w:rFonts w:ascii="Open Sans" w:eastAsia="Calibri" w:hAnsi="Open Sans" w:cs="Open Sans"/>
          <w:sz w:val="20"/>
          <w:szCs w:val="20"/>
          <w:u w:val="single"/>
        </w:rPr>
        <w:t>Plan over samlingene</w:t>
      </w:r>
      <w:r w:rsidRPr="007D09CB">
        <w:rPr>
          <w:rFonts w:ascii="Open Sans" w:eastAsia="Calibri" w:hAnsi="Open Sans" w:cs="Open Sans"/>
          <w:sz w:val="20"/>
          <w:szCs w:val="20"/>
          <w:u w:val="single"/>
        </w:rPr>
        <w:br/>
      </w:r>
    </w:p>
    <w:tbl>
      <w:tblPr>
        <w:tblStyle w:val="Tabellrutenett"/>
        <w:tblW w:w="0" w:type="auto"/>
        <w:tblLook w:val="04A0" w:firstRow="1" w:lastRow="0" w:firstColumn="1" w:lastColumn="0" w:noHBand="0" w:noVBand="1"/>
      </w:tblPr>
      <w:tblGrid>
        <w:gridCol w:w="9016"/>
      </w:tblGrid>
      <w:tr w:rsidR="007D09CB" w:rsidRPr="007D09CB" w14:paraId="69453583" w14:textId="77777777" w:rsidTr="00F523AA">
        <w:tc>
          <w:tcPr>
            <w:tcW w:w="9016" w:type="dxa"/>
          </w:tcPr>
          <w:p w14:paraId="7BF46149" w14:textId="77777777" w:rsidR="007D09CB" w:rsidRPr="007D09CB" w:rsidRDefault="007D09CB" w:rsidP="007D09CB">
            <w:pPr>
              <w:rPr>
                <w:rFonts w:ascii="Open Sans" w:eastAsia="Calibri" w:hAnsi="Open Sans" w:cs="Open Sans"/>
                <w:sz w:val="20"/>
                <w:szCs w:val="20"/>
              </w:rPr>
            </w:pPr>
            <w:r w:rsidRPr="007D09CB">
              <w:rPr>
                <w:rFonts w:ascii="Open Sans" w:eastAsia="Calibri" w:hAnsi="Open Sans" w:cs="Open Sans"/>
                <w:sz w:val="20"/>
                <w:szCs w:val="20"/>
              </w:rPr>
              <w:t>Høst 2024 – høst 2025: Samling 1-5 for ressurslærere:</w:t>
            </w:r>
          </w:p>
        </w:tc>
      </w:tr>
      <w:tr w:rsidR="007D09CB" w:rsidRPr="007D09CB" w14:paraId="168BECA1" w14:textId="77777777" w:rsidTr="00F523AA">
        <w:tc>
          <w:tcPr>
            <w:tcW w:w="9016" w:type="dxa"/>
          </w:tcPr>
          <w:p w14:paraId="1F22D682" w14:textId="77777777" w:rsidR="007D09CB" w:rsidRPr="007D09CB" w:rsidRDefault="007D09CB" w:rsidP="007D09CB">
            <w:pPr>
              <w:rPr>
                <w:rFonts w:ascii="Open Sans" w:eastAsia="Calibri" w:hAnsi="Open Sans" w:cs="Open Sans"/>
                <w:sz w:val="20"/>
                <w:szCs w:val="20"/>
              </w:rPr>
            </w:pPr>
          </w:p>
        </w:tc>
      </w:tr>
      <w:tr w:rsidR="007D09CB" w:rsidRPr="007D09CB" w14:paraId="0777E051" w14:textId="77777777" w:rsidTr="00F523AA">
        <w:tc>
          <w:tcPr>
            <w:tcW w:w="9016" w:type="dxa"/>
          </w:tcPr>
          <w:p w14:paraId="1101A732" w14:textId="77777777" w:rsidR="007D09CB" w:rsidRPr="007D09CB" w:rsidRDefault="007D09CB" w:rsidP="007D09CB">
            <w:pPr>
              <w:rPr>
                <w:rFonts w:ascii="Open Sans" w:eastAsia="Calibri" w:hAnsi="Open Sans" w:cs="Open Sans"/>
                <w:sz w:val="20"/>
                <w:szCs w:val="20"/>
              </w:rPr>
            </w:pPr>
            <w:r w:rsidRPr="007D09CB">
              <w:rPr>
                <w:rFonts w:ascii="Open Sans" w:eastAsia="Calibri" w:hAnsi="Open Sans" w:cs="Open Sans"/>
                <w:sz w:val="20"/>
                <w:szCs w:val="20"/>
              </w:rPr>
              <w:t xml:space="preserve">Høst 2024: </w:t>
            </w:r>
            <w:r w:rsidRPr="007D09CB">
              <w:rPr>
                <w:rFonts w:ascii="Open Sans" w:eastAsia="Calibri" w:hAnsi="Open Sans" w:cs="Open Sans"/>
                <w:sz w:val="20"/>
                <w:szCs w:val="20"/>
              </w:rPr>
              <w:tab/>
              <w:t>Uke 36</w:t>
            </w:r>
            <w:r w:rsidRPr="007D09CB">
              <w:rPr>
                <w:rFonts w:ascii="Open Sans" w:eastAsia="Calibri" w:hAnsi="Open Sans" w:cs="Open Sans"/>
                <w:sz w:val="20"/>
                <w:szCs w:val="20"/>
              </w:rPr>
              <w:tab/>
              <w:t xml:space="preserve">Samling 1: </w:t>
            </w:r>
            <w:r w:rsidRPr="007D09CB">
              <w:rPr>
                <w:rFonts w:ascii="Open Sans" w:eastAsia="Calibri" w:hAnsi="Open Sans" w:cs="Open Sans"/>
                <w:sz w:val="20"/>
                <w:szCs w:val="20"/>
              </w:rPr>
              <w:tab/>
            </w:r>
            <w:r w:rsidRPr="007D09CB">
              <w:rPr>
                <w:rFonts w:ascii="Open Sans" w:eastAsia="Calibri" w:hAnsi="Open Sans" w:cs="Open Sans"/>
                <w:sz w:val="20"/>
                <w:szCs w:val="20"/>
              </w:rPr>
              <w:tab/>
              <w:t>Fysisk heldag</w:t>
            </w:r>
          </w:p>
        </w:tc>
      </w:tr>
      <w:tr w:rsidR="007D09CB" w:rsidRPr="007D09CB" w14:paraId="1EAC2249" w14:textId="77777777" w:rsidTr="00F523AA">
        <w:tc>
          <w:tcPr>
            <w:tcW w:w="9016" w:type="dxa"/>
          </w:tcPr>
          <w:p w14:paraId="1CE52AEA" w14:textId="77777777" w:rsidR="007D09CB" w:rsidRPr="007D09CB" w:rsidRDefault="007D09CB" w:rsidP="007D09CB">
            <w:pPr>
              <w:rPr>
                <w:rFonts w:ascii="Open Sans" w:eastAsia="Calibri" w:hAnsi="Open Sans" w:cs="Open Sans"/>
                <w:sz w:val="20"/>
                <w:szCs w:val="20"/>
              </w:rPr>
            </w:pPr>
            <w:r w:rsidRPr="007D09CB">
              <w:rPr>
                <w:rFonts w:ascii="Open Sans" w:eastAsia="Calibri" w:hAnsi="Open Sans" w:cs="Open Sans"/>
                <w:sz w:val="20"/>
                <w:szCs w:val="20"/>
              </w:rPr>
              <w:tab/>
            </w:r>
            <w:r w:rsidRPr="007D09CB">
              <w:rPr>
                <w:rFonts w:ascii="Open Sans" w:eastAsia="Calibri" w:hAnsi="Open Sans" w:cs="Open Sans"/>
                <w:sz w:val="20"/>
                <w:szCs w:val="20"/>
              </w:rPr>
              <w:tab/>
            </w:r>
            <w:r w:rsidRPr="007D09CB">
              <w:rPr>
                <w:rFonts w:ascii="Open Sans" w:eastAsia="Calibri" w:hAnsi="Open Sans" w:cs="Open Sans"/>
                <w:sz w:val="20"/>
                <w:szCs w:val="20"/>
              </w:rPr>
              <w:tab/>
            </w:r>
            <w:r w:rsidRPr="007D09CB">
              <w:rPr>
                <w:rFonts w:ascii="Open Sans" w:eastAsia="Calibri" w:hAnsi="Open Sans" w:cs="Open Sans"/>
                <w:sz w:val="20"/>
                <w:szCs w:val="20"/>
              </w:rPr>
              <w:tab/>
              <w:t>Mellom samlingene:</w:t>
            </w:r>
            <w:r w:rsidRPr="007D09CB">
              <w:rPr>
                <w:rFonts w:ascii="Open Sans" w:eastAsia="Calibri" w:hAnsi="Open Sans" w:cs="Open Sans"/>
                <w:sz w:val="20"/>
                <w:szCs w:val="20"/>
              </w:rPr>
              <w:tab/>
              <w:t>Oppdrag og intern samling</w:t>
            </w:r>
          </w:p>
        </w:tc>
      </w:tr>
      <w:tr w:rsidR="007D09CB" w:rsidRPr="007D09CB" w14:paraId="7E3EA5AA" w14:textId="77777777" w:rsidTr="00F523AA">
        <w:tc>
          <w:tcPr>
            <w:tcW w:w="9016" w:type="dxa"/>
          </w:tcPr>
          <w:p w14:paraId="4CAC04BD" w14:textId="77777777" w:rsidR="007D09CB" w:rsidRPr="007D09CB" w:rsidRDefault="007D09CB" w:rsidP="007D09CB">
            <w:pPr>
              <w:rPr>
                <w:rFonts w:ascii="Open Sans" w:eastAsia="Calibri" w:hAnsi="Open Sans" w:cs="Open Sans"/>
                <w:sz w:val="20"/>
                <w:szCs w:val="20"/>
              </w:rPr>
            </w:pPr>
            <w:r w:rsidRPr="007D09CB">
              <w:rPr>
                <w:rFonts w:ascii="Open Sans" w:eastAsia="Calibri" w:hAnsi="Open Sans" w:cs="Open Sans"/>
                <w:sz w:val="20"/>
                <w:szCs w:val="20"/>
              </w:rPr>
              <w:tab/>
            </w:r>
            <w:r w:rsidRPr="007D09CB">
              <w:rPr>
                <w:rFonts w:ascii="Open Sans" w:eastAsia="Calibri" w:hAnsi="Open Sans" w:cs="Open Sans"/>
                <w:sz w:val="20"/>
                <w:szCs w:val="20"/>
              </w:rPr>
              <w:tab/>
              <w:t>Uke 44</w:t>
            </w:r>
            <w:r w:rsidRPr="007D09CB">
              <w:rPr>
                <w:rFonts w:ascii="Open Sans" w:eastAsia="Calibri" w:hAnsi="Open Sans" w:cs="Open Sans"/>
                <w:sz w:val="20"/>
                <w:szCs w:val="20"/>
              </w:rPr>
              <w:tab/>
            </w:r>
            <w:r w:rsidRPr="007D09CB">
              <w:rPr>
                <w:rFonts w:ascii="Open Sans" w:eastAsia="Calibri" w:hAnsi="Open Sans" w:cs="Open Sans"/>
                <w:sz w:val="20"/>
                <w:szCs w:val="20"/>
              </w:rPr>
              <w:tab/>
              <w:t xml:space="preserve">Samling 2: </w:t>
            </w:r>
            <w:r w:rsidRPr="007D09CB">
              <w:rPr>
                <w:rFonts w:ascii="Open Sans" w:eastAsia="Calibri" w:hAnsi="Open Sans" w:cs="Open Sans"/>
                <w:sz w:val="20"/>
                <w:szCs w:val="20"/>
              </w:rPr>
              <w:tab/>
            </w:r>
            <w:r w:rsidRPr="007D09CB">
              <w:rPr>
                <w:rFonts w:ascii="Open Sans" w:eastAsia="Calibri" w:hAnsi="Open Sans" w:cs="Open Sans"/>
                <w:sz w:val="20"/>
                <w:szCs w:val="20"/>
              </w:rPr>
              <w:tab/>
              <w:t>Digital halvdag</w:t>
            </w:r>
          </w:p>
        </w:tc>
      </w:tr>
      <w:tr w:rsidR="007D09CB" w:rsidRPr="007D09CB" w14:paraId="29F99BE8" w14:textId="77777777" w:rsidTr="00F523AA">
        <w:tc>
          <w:tcPr>
            <w:tcW w:w="9016" w:type="dxa"/>
          </w:tcPr>
          <w:p w14:paraId="44667740" w14:textId="77777777" w:rsidR="007D09CB" w:rsidRPr="007D09CB" w:rsidRDefault="007D09CB" w:rsidP="007D09CB">
            <w:pPr>
              <w:rPr>
                <w:rFonts w:ascii="Open Sans" w:eastAsia="Calibri" w:hAnsi="Open Sans" w:cs="Open Sans"/>
                <w:sz w:val="20"/>
                <w:szCs w:val="20"/>
              </w:rPr>
            </w:pPr>
            <w:r w:rsidRPr="007D09CB">
              <w:rPr>
                <w:rFonts w:ascii="Open Sans" w:eastAsia="Calibri" w:hAnsi="Open Sans" w:cs="Open Sans"/>
                <w:sz w:val="20"/>
                <w:szCs w:val="20"/>
              </w:rPr>
              <w:tab/>
            </w:r>
            <w:r w:rsidRPr="007D09CB">
              <w:rPr>
                <w:rFonts w:ascii="Open Sans" w:eastAsia="Calibri" w:hAnsi="Open Sans" w:cs="Open Sans"/>
                <w:sz w:val="20"/>
                <w:szCs w:val="20"/>
              </w:rPr>
              <w:tab/>
            </w:r>
            <w:r w:rsidRPr="007D09CB">
              <w:rPr>
                <w:rFonts w:ascii="Open Sans" w:eastAsia="Calibri" w:hAnsi="Open Sans" w:cs="Open Sans"/>
                <w:sz w:val="20"/>
                <w:szCs w:val="20"/>
              </w:rPr>
              <w:tab/>
            </w:r>
            <w:r w:rsidRPr="007D09CB">
              <w:rPr>
                <w:rFonts w:ascii="Open Sans" w:eastAsia="Calibri" w:hAnsi="Open Sans" w:cs="Open Sans"/>
                <w:sz w:val="20"/>
                <w:szCs w:val="20"/>
              </w:rPr>
              <w:tab/>
              <w:t>Mellom samlingene:</w:t>
            </w:r>
            <w:r w:rsidRPr="007D09CB">
              <w:rPr>
                <w:rFonts w:ascii="Open Sans" w:eastAsia="Calibri" w:hAnsi="Open Sans" w:cs="Open Sans"/>
                <w:sz w:val="20"/>
                <w:szCs w:val="20"/>
              </w:rPr>
              <w:tab/>
              <w:t>Oppdrag og intern samling</w:t>
            </w:r>
          </w:p>
        </w:tc>
      </w:tr>
      <w:tr w:rsidR="007D09CB" w:rsidRPr="007D09CB" w14:paraId="6BA94D8C" w14:textId="77777777" w:rsidTr="00F523AA">
        <w:tc>
          <w:tcPr>
            <w:tcW w:w="9016" w:type="dxa"/>
          </w:tcPr>
          <w:p w14:paraId="67DEDBF6" w14:textId="77777777" w:rsidR="007D09CB" w:rsidRPr="007D09CB" w:rsidRDefault="007D09CB" w:rsidP="007D09CB">
            <w:pPr>
              <w:rPr>
                <w:rFonts w:ascii="Open Sans" w:eastAsia="Calibri" w:hAnsi="Open Sans" w:cs="Open Sans"/>
                <w:sz w:val="20"/>
                <w:szCs w:val="20"/>
              </w:rPr>
            </w:pPr>
            <w:r w:rsidRPr="007D09CB">
              <w:rPr>
                <w:rFonts w:ascii="Open Sans" w:eastAsia="Calibri" w:hAnsi="Open Sans" w:cs="Open Sans"/>
                <w:sz w:val="20"/>
                <w:szCs w:val="20"/>
              </w:rPr>
              <w:t>Vår 2025:</w:t>
            </w:r>
            <w:r w:rsidRPr="007D09CB">
              <w:rPr>
                <w:rFonts w:ascii="Open Sans" w:eastAsia="Calibri" w:hAnsi="Open Sans" w:cs="Open Sans"/>
                <w:sz w:val="20"/>
                <w:szCs w:val="20"/>
              </w:rPr>
              <w:tab/>
              <w:t>Uke 4</w:t>
            </w:r>
            <w:r w:rsidRPr="007D09CB">
              <w:rPr>
                <w:rFonts w:ascii="Open Sans" w:eastAsia="Calibri" w:hAnsi="Open Sans" w:cs="Open Sans"/>
                <w:sz w:val="20"/>
                <w:szCs w:val="20"/>
              </w:rPr>
              <w:tab/>
              <w:t xml:space="preserve">              Samling 3: </w:t>
            </w:r>
            <w:r w:rsidRPr="007D09CB">
              <w:rPr>
                <w:rFonts w:ascii="Open Sans" w:eastAsia="Calibri" w:hAnsi="Open Sans" w:cs="Open Sans"/>
                <w:sz w:val="20"/>
                <w:szCs w:val="20"/>
              </w:rPr>
              <w:tab/>
            </w:r>
            <w:r w:rsidRPr="007D09CB">
              <w:rPr>
                <w:rFonts w:ascii="Open Sans" w:eastAsia="Calibri" w:hAnsi="Open Sans" w:cs="Open Sans"/>
                <w:sz w:val="20"/>
                <w:szCs w:val="20"/>
              </w:rPr>
              <w:tab/>
              <w:t>Fysisk heldag</w:t>
            </w:r>
          </w:p>
        </w:tc>
      </w:tr>
      <w:tr w:rsidR="007D09CB" w:rsidRPr="007D09CB" w14:paraId="781156C5" w14:textId="77777777" w:rsidTr="00F523AA">
        <w:tc>
          <w:tcPr>
            <w:tcW w:w="9016" w:type="dxa"/>
          </w:tcPr>
          <w:p w14:paraId="5910E440" w14:textId="77777777" w:rsidR="007D09CB" w:rsidRPr="007D09CB" w:rsidRDefault="007D09CB" w:rsidP="007D09CB">
            <w:pPr>
              <w:rPr>
                <w:rFonts w:ascii="Open Sans" w:eastAsia="Calibri" w:hAnsi="Open Sans" w:cs="Open Sans"/>
                <w:sz w:val="20"/>
                <w:szCs w:val="20"/>
              </w:rPr>
            </w:pPr>
            <w:r w:rsidRPr="007D09CB">
              <w:rPr>
                <w:rFonts w:ascii="Open Sans" w:eastAsia="Calibri" w:hAnsi="Open Sans" w:cs="Open Sans"/>
                <w:sz w:val="20"/>
                <w:szCs w:val="20"/>
              </w:rPr>
              <w:tab/>
            </w:r>
            <w:r w:rsidRPr="007D09CB">
              <w:rPr>
                <w:rFonts w:ascii="Open Sans" w:eastAsia="Calibri" w:hAnsi="Open Sans" w:cs="Open Sans"/>
                <w:sz w:val="20"/>
                <w:szCs w:val="20"/>
              </w:rPr>
              <w:tab/>
            </w:r>
            <w:r w:rsidRPr="007D09CB">
              <w:rPr>
                <w:rFonts w:ascii="Open Sans" w:eastAsia="Calibri" w:hAnsi="Open Sans" w:cs="Open Sans"/>
                <w:sz w:val="20"/>
                <w:szCs w:val="20"/>
              </w:rPr>
              <w:tab/>
            </w:r>
            <w:r w:rsidRPr="007D09CB">
              <w:rPr>
                <w:rFonts w:ascii="Open Sans" w:eastAsia="Calibri" w:hAnsi="Open Sans" w:cs="Open Sans"/>
                <w:sz w:val="20"/>
                <w:szCs w:val="20"/>
              </w:rPr>
              <w:tab/>
              <w:t>Mellom samlingene:</w:t>
            </w:r>
            <w:r w:rsidRPr="007D09CB">
              <w:rPr>
                <w:rFonts w:ascii="Open Sans" w:eastAsia="Calibri" w:hAnsi="Open Sans" w:cs="Open Sans"/>
                <w:sz w:val="20"/>
                <w:szCs w:val="20"/>
              </w:rPr>
              <w:tab/>
              <w:t>Oppdrag og intern samling</w:t>
            </w:r>
          </w:p>
        </w:tc>
      </w:tr>
      <w:tr w:rsidR="007D09CB" w:rsidRPr="007D09CB" w14:paraId="03786548" w14:textId="77777777" w:rsidTr="00F523AA">
        <w:tc>
          <w:tcPr>
            <w:tcW w:w="9016" w:type="dxa"/>
          </w:tcPr>
          <w:p w14:paraId="4C3AB682" w14:textId="77777777" w:rsidR="007D09CB" w:rsidRPr="007D09CB" w:rsidRDefault="007D09CB" w:rsidP="007D09CB">
            <w:pPr>
              <w:rPr>
                <w:rFonts w:ascii="Open Sans" w:eastAsia="Calibri" w:hAnsi="Open Sans" w:cs="Open Sans"/>
                <w:sz w:val="20"/>
                <w:szCs w:val="20"/>
              </w:rPr>
            </w:pPr>
            <w:r w:rsidRPr="007D09CB">
              <w:rPr>
                <w:rFonts w:ascii="Open Sans" w:eastAsia="Calibri" w:hAnsi="Open Sans" w:cs="Open Sans"/>
                <w:sz w:val="20"/>
                <w:szCs w:val="20"/>
              </w:rPr>
              <w:tab/>
            </w:r>
            <w:r w:rsidRPr="007D09CB">
              <w:rPr>
                <w:rFonts w:ascii="Open Sans" w:eastAsia="Calibri" w:hAnsi="Open Sans" w:cs="Open Sans"/>
                <w:sz w:val="20"/>
                <w:szCs w:val="20"/>
              </w:rPr>
              <w:tab/>
              <w:t>Uke 13</w:t>
            </w:r>
            <w:r w:rsidRPr="007D09CB">
              <w:rPr>
                <w:rFonts w:ascii="Open Sans" w:eastAsia="Calibri" w:hAnsi="Open Sans" w:cs="Open Sans"/>
                <w:sz w:val="20"/>
                <w:szCs w:val="20"/>
              </w:rPr>
              <w:tab/>
            </w:r>
            <w:r w:rsidRPr="007D09CB">
              <w:rPr>
                <w:rFonts w:ascii="Open Sans" w:eastAsia="Calibri" w:hAnsi="Open Sans" w:cs="Open Sans"/>
                <w:sz w:val="20"/>
                <w:szCs w:val="20"/>
              </w:rPr>
              <w:tab/>
              <w:t xml:space="preserve">Samling 4: </w:t>
            </w:r>
            <w:r w:rsidRPr="007D09CB">
              <w:rPr>
                <w:rFonts w:ascii="Open Sans" w:eastAsia="Calibri" w:hAnsi="Open Sans" w:cs="Open Sans"/>
                <w:sz w:val="20"/>
                <w:szCs w:val="20"/>
              </w:rPr>
              <w:tab/>
            </w:r>
            <w:r w:rsidRPr="007D09CB">
              <w:rPr>
                <w:rFonts w:ascii="Open Sans" w:eastAsia="Calibri" w:hAnsi="Open Sans" w:cs="Open Sans"/>
                <w:sz w:val="20"/>
                <w:szCs w:val="20"/>
              </w:rPr>
              <w:tab/>
              <w:t>Digital halvdag</w:t>
            </w:r>
          </w:p>
        </w:tc>
      </w:tr>
      <w:tr w:rsidR="007D09CB" w:rsidRPr="007D09CB" w14:paraId="686D5656" w14:textId="77777777" w:rsidTr="00F523AA">
        <w:tc>
          <w:tcPr>
            <w:tcW w:w="9016" w:type="dxa"/>
          </w:tcPr>
          <w:p w14:paraId="3CD23CA5" w14:textId="77777777" w:rsidR="007D09CB" w:rsidRPr="007D09CB" w:rsidRDefault="007D09CB" w:rsidP="007D09CB">
            <w:pPr>
              <w:rPr>
                <w:rFonts w:ascii="Open Sans" w:eastAsia="Calibri" w:hAnsi="Open Sans" w:cs="Open Sans"/>
                <w:sz w:val="20"/>
                <w:szCs w:val="20"/>
              </w:rPr>
            </w:pPr>
            <w:r w:rsidRPr="007D09CB">
              <w:rPr>
                <w:rFonts w:ascii="Open Sans" w:eastAsia="Calibri" w:hAnsi="Open Sans" w:cs="Open Sans"/>
                <w:sz w:val="20"/>
                <w:szCs w:val="20"/>
              </w:rPr>
              <w:tab/>
            </w:r>
            <w:r w:rsidRPr="007D09CB">
              <w:rPr>
                <w:rFonts w:ascii="Open Sans" w:eastAsia="Calibri" w:hAnsi="Open Sans" w:cs="Open Sans"/>
                <w:sz w:val="20"/>
                <w:szCs w:val="20"/>
              </w:rPr>
              <w:tab/>
            </w:r>
            <w:r w:rsidRPr="007D09CB">
              <w:rPr>
                <w:rFonts w:ascii="Open Sans" w:eastAsia="Calibri" w:hAnsi="Open Sans" w:cs="Open Sans"/>
                <w:sz w:val="20"/>
                <w:szCs w:val="20"/>
              </w:rPr>
              <w:tab/>
            </w:r>
            <w:r w:rsidRPr="007D09CB">
              <w:rPr>
                <w:rFonts w:ascii="Open Sans" w:eastAsia="Calibri" w:hAnsi="Open Sans" w:cs="Open Sans"/>
                <w:sz w:val="20"/>
                <w:szCs w:val="20"/>
              </w:rPr>
              <w:tab/>
              <w:t>Mellom samlingene:</w:t>
            </w:r>
            <w:r w:rsidRPr="007D09CB">
              <w:rPr>
                <w:rFonts w:ascii="Open Sans" w:eastAsia="Calibri" w:hAnsi="Open Sans" w:cs="Open Sans"/>
                <w:sz w:val="20"/>
                <w:szCs w:val="20"/>
              </w:rPr>
              <w:tab/>
              <w:t>Oppdrag og intern samling</w:t>
            </w:r>
          </w:p>
        </w:tc>
      </w:tr>
      <w:tr w:rsidR="007D09CB" w:rsidRPr="007D09CB" w14:paraId="2AFB4AAF" w14:textId="77777777" w:rsidTr="00F523AA">
        <w:tc>
          <w:tcPr>
            <w:tcW w:w="9016" w:type="dxa"/>
          </w:tcPr>
          <w:p w14:paraId="45961DA0" w14:textId="77777777" w:rsidR="007D09CB" w:rsidRPr="007D09CB" w:rsidRDefault="007D09CB" w:rsidP="007D09CB">
            <w:pPr>
              <w:rPr>
                <w:rFonts w:ascii="Open Sans" w:eastAsia="Calibri" w:hAnsi="Open Sans" w:cs="Open Sans"/>
                <w:sz w:val="20"/>
                <w:szCs w:val="20"/>
              </w:rPr>
            </w:pPr>
            <w:r w:rsidRPr="007D09CB">
              <w:rPr>
                <w:rFonts w:ascii="Open Sans" w:eastAsia="Calibri" w:hAnsi="Open Sans" w:cs="Open Sans"/>
                <w:sz w:val="20"/>
                <w:szCs w:val="20"/>
              </w:rPr>
              <w:t>Høst 2025:</w:t>
            </w:r>
            <w:r w:rsidRPr="007D09CB">
              <w:rPr>
                <w:rFonts w:ascii="Open Sans" w:eastAsia="Calibri" w:hAnsi="Open Sans" w:cs="Open Sans"/>
                <w:sz w:val="20"/>
                <w:szCs w:val="20"/>
              </w:rPr>
              <w:tab/>
              <w:t>Uke 36/38</w:t>
            </w:r>
            <w:r w:rsidRPr="007D09CB">
              <w:rPr>
                <w:rFonts w:ascii="Open Sans" w:eastAsia="Calibri" w:hAnsi="Open Sans" w:cs="Open Sans"/>
                <w:sz w:val="20"/>
                <w:szCs w:val="20"/>
              </w:rPr>
              <w:tab/>
              <w:t>Samling 5:</w:t>
            </w:r>
            <w:r w:rsidRPr="007D09CB">
              <w:rPr>
                <w:rFonts w:ascii="Open Sans" w:eastAsia="Calibri" w:hAnsi="Open Sans" w:cs="Open Sans"/>
                <w:sz w:val="20"/>
                <w:szCs w:val="20"/>
              </w:rPr>
              <w:tab/>
            </w:r>
            <w:r w:rsidRPr="007D09CB">
              <w:rPr>
                <w:rFonts w:ascii="Open Sans" w:eastAsia="Calibri" w:hAnsi="Open Sans" w:cs="Open Sans"/>
                <w:sz w:val="20"/>
                <w:szCs w:val="20"/>
              </w:rPr>
              <w:tab/>
              <w:t>Fysisk heldag</w:t>
            </w:r>
          </w:p>
        </w:tc>
      </w:tr>
      <w:tr w:rsidR="007D09CB" w:rsidRPr="007D09CB" w14:paraId="3CFEF87C" w14:textId="77777777" w:rsidTr="00F523AA">
        <w:tc>
          <w:tcPr>
            <w:tcW w:w="9016" w:type="dxa"/>
          </w:tcPr>
          <w:p w14:paraId="056CE0F6" w14:textId="77777777" w:rsidR="007D09CB" w:rsidRPr="007D09CB" w:rsidRDefault="007D09CB" w:rsidP="007D09CB">
            <w:pPr>
              <w:rPr>
                <w:rFonts w:ascii="Open Sans" w:eastAsia="Calibri" w:hAnsi="Open Sans" w:cs="Open Sans"/>
                <w:sz w:val="20"/>
                <w:szCs w:val="20"/>
              </w:rPr>
            </w:pPr>
            <w:r w:rsidRPr="007D09CB">
              <w:rPr>
                <w:rFonts w:ascii="Open Sans" w:eastAsia="Calibri" w:hAnsi="Open Sans" w:cs="Open Sans"/>
                <w:sz w:val="20"/>
                <w:szCs w:val="20"/>
              </w:rPr>
              <w:tab/>
            </w:r>
            <w:r w:rsidRPr="007D09CB">
              <w:rPr>
                <w:rFonts w:ascii="Open Sans" w:eastAsia="Calibri" w:hAnsi="Open Sans" w:cs="Open Sans"/>
                <w:sz w:val="20"/>
                <w:szCs w:val="20"/>
              </w:rPr>
              <w:tab/>
            </w:r>
            <w:r w:rsidRPr="007D09CB">
              <w:rPr>
                <w:rFonts w:ascii="Open Sans" w:eastAsia="Calibri" w:hAnsi="Open Sans" w:cs="Open Sans"/>
                <w:sz w:val="20"/>
                <w:szCs w:val="20"/>
              </w:rPr>
              <w:tab/>
            </w:r>
            <w:r w:rsidRPr="007D09CB">
              <w:rPr>
                <w:rFonts w:ascii="Open Sans" w:eastAsia="Calibri" w:hAnsi="Open Sans" w:cs="Open Sans"/>
                <w:sz w:val="20"/>
                <w:szCs w:val="20"/>
              </w:rPr>
              <w:tab/>
              <w:t>Mellom samlingene:</w:t>
            </w:r>
            <w:r w:rsidRPr="007D09CB">
              <w:rPr>
                <w:rFonts w:ascii="Open Sans" w:eastAsia="Calibri" w:hAnsi="Open Sans" w:cs="Open Sans"/>
                <w:sz w:val="20"/>
                <w:szCs w:val="20"/>
              </w:rPr>
              <w:tab/>
              <w:t>Oppdrag og intern samling</w:t>
            </w:r>
          </w:p>
        </w:tc>
      </w:tr>
      <w:tr w:rsidR="007D09CB" w:rsidRPr="007D09CB" w14:paraId="4B054F51" w14:textId="77777777" w:rsidTr="00F523AA">
        <w:tc>
          <w:tcPr>
            <w:tcW w:w="9016" w:type="dxa"/>
          </w:tcPr>
          <w:p w14:paraId="1C8F92F4" w14:textId="77777777" w:rsidR="007D09CB" w:rsidRPr="007D09CB" w:rsidRDefault="007D09CB" w:rsidP="007D09CB">
            <w:pPr>
              <w:rPr>
                <w:rFonts w:ascii="Open Sans" w:eastAsia="Calibri" w:hAnsi="Open Sans" w:cs="Open Sans"/>
                <w:sz w:val="20"/>
                <w:szCs w:val="20"/>
              </w:rPr>
            </w:pPr>
          </w:p>
        </w:tc>
      </w:tr>
      <w:tr w:rsidR="007D09CB" w:rsidRPr="007D09CB" w14:paraId="6A73A6AD" w14:textId="77777777" w:rsidTr="00F523AA">
        <w:tc>
          <w:tcPr>
            <w:tcW w:w="9016" w:type="dxa"/>
          </w:tcPr>
          <w:p w14:paraId="25C0A481" w14:textId="77777777" w:rsidR="007D09CB" w:rsidRPr="007D09CB" w:rsidRDefault="007D09CB" w:rsidP="007D09CB">
            <w:pPr>
              <w:rPr>
                <w:rFonts w:ascii="Open Sans" w:eastAsia="Calibri" w:hAnsi="Open Sans" w:cs="Open Sans"/>
                <w:sz w:val="20"/>
                <w:szCs w:val="20"/>
              </w:rPr>
            </w:pPr>
            <w:r w:rsidRPr="007D09CB">
              <w:rPr>
                <w:rFonts w:ascii="Open Sans" w:eastAsia="Calibri" w:hAnsi="Open Sans" w:cs="Open Sans"/>
                <w:sz w:val="20"/>
                <w:szCs w:val="20"/>
              </w:rPr>
              <w:t xml:space="preserve">Høst 2026: </w:t>
            </w:r>
            <w:r w:rsidRPr="007D09CB">
              <w:rPr>
                <w:rFonts w:ascii="Open Sans" w:eastAsia="Calibri" w:hAnsi="Open Sans" w:cs="Open Sans"/>
                <w:sz w:val="20"/>
                <w:szCs w:val="20"/>
              </w:rPr>
              <w:tab/>
            </w:r>
            <w:proofErr w:type="gramStart"/>
            <w:r w:rsidRPr="007D09CB">
              <w:rPr>
                <w:rFonts w:ascii="Open Sans" w:eastAsia="Calibri" w:hAnsi="Open Sans" w:cs="Open Sans"/>
                <w:sz w:val="20"/>
                <w:szCs w:val="20"/>
              </w:rPr>
              <w:t>Uke ??</w:t>
            </w:r>
            <w:proofErr w:type="gramEnd"/>
            <w:r w:rsidRPr="007D09CB">
              <w:rPr>
                <w:rFonts w:ascii="Open Sans" w:eastAsia="Calibri" w:hAnsi="Open Sans" w:cs="Open Sans"/>
                <w:sz w:val="20"/>
                <w:szCs w:val="20"/>
              </w:rPr>
              <w:tab/>
            </w:r>
            <w:r w:rsidRPr="007D09CB">
              <w:rPr>
                <w:rFonts w:ascii="Open Sans" w:eastAsia="Calibri" w:hAnsi="Open Sans" w:cs="Open Sans"/>
                <w:sz w:val="20"/>
                <w:szCs w:val="20"/>
              </w:rPr>
              <w:tab/>
              <w:t xml:space="preserve">Årlig samling </w:t>
            </w:r>
            <w:r w:rsidRPr="007D09CB">
              <w:rPr>
                <w:rFonts w:ascii="Open Sans" w:eastAsia="Calibri" w:hAnsi="Open Sans" w:cs="Open Sans"/>
                <w:sz w:val="20"/>
                <w:szCs w:val="20"/>
              </w:rPr>
              <w:tab/>
            </w:r>
            <w:r w:rsidRPr="007D09CB">
              <w:rPr>
                <w:rFonts w:ascii="Open Sans" w:eastAsia="Calibri" w:hAnsi="Open Sans" w:cs="Open Sans"/>
                <w:sz w:val="20"/>
                <w:szCs w:val="20"/>
              </w:rPr>
              <w:tab/>
              <w:t>Fysisk heldag</w:t>
            </w:r>
          </w:p>
        </w:tc>
      </w:tr>
    </w:tbl>
    <w:p w14:paraId="71CE356D" w14:textId="77777777" w:rsidR="007D09CB" w:rsidRPr="007D09CB" w:rsidRDefault="007D09CB" w:rsidP="007D09CB">
      <w:pPr>
        <w:spacing w:after="0" w:line="240" w:lineRule="auto"/>
        <w:rPr>
          <w:rFonts w:ascii="Open Sans" w:eastAsia="Calibri" w:hAnsi="Open Sans" w:cs="Open Sans"/>
          <w:sz w:val="20"/>
          <w:szCs w:val="20"/>
        </w:rPr>
      </w:pPr>
    </w:p>
    <w:p w14:paraId="0EE49D19" w14:textId="77777777" w:rsidR="007D09CB" w:rsidRPr="007D09CB" w:rsidRDefault="007D09CB" w:rsidP="007D09CB">
      <w:pPr>
        <w:spacing w:after="0" w:line="240" w:lineRule="auto"/>
        <w:rPr>
          <w:rFonts w:ascii="Open Sans" w:eastAsia="Calibri" w:hAnsi="Open Sans" w:cs="Open Sans"/>
          <w:sz w:val="20"/>
          <w:szCs w:val="20"/>
        </w:rPr>
      </w:pPr>
      <w:r w:rsidRPr="007D09CB">
        <w:rPr>
          <w:rFonts w:ascii="Open Sans" w:eastAsia="Calibri" w:hAnsi="Open Sans" w:cs="Open Sans"/>
          <w:sz w:val="20"/>
          <w:szCs w:val="20"/>
        </w:rPr>
        <w:t>Samling 1 organiseres regionalt på felles dato for fagene norsk, matematikk og engelsk. (Første halvdel er felles for alle, mens det i andre halvdel blir paralleller for norsk, matematikk og engelsk.) De resterende samlingene er fagspesifikke (norsk, matematikk og engelsk) og organiseres på tre ulike datoer i løpet av den samme uka.</w:t>
      </w:r>
    </w:p>
    <w:p w14:paraId="736B7D5A" w14:textId="77777777" w:rsidR="007D09CB" w:rsidRPr="007D09CB" w:rsidRDefault="007D09CB" w:rsidP="007D09CB">
      <w:pPr>
        <w:spacing w:after="0" w:line="240" w:lineRule="auto"/>
        <w:rPr>
          <w:rFonts w:ascii="Open Sans" w:eastAsia="Calibri" w:hAnsi="Open Sans" w:cs="Open Sans"/>
          <w:sz w:val="20"/>
          <w:szCs w:val="20"/>
        </w:rPr>
      </w:pPr>
    </w:p>
    <w:p w14:paraId="7DB4EB84" w14:textId="77777777" w:rsidR="007D09CB" w:rsidRPr="007D09CB" w:rsidRDefault="007D09CB" w:rsidP="007D09CB">
      <w:pPr>
        <w:spacing w:after="0" w:line="240" w:lineRule="auto"/>
        <w:rPr>
          <w:rFonts w:ascii="Open Sans" w:eastAsia="Calibri" w:hAnsi="Open Sans" w:cs="Open Sans"/>
          <w:sz w:val="20"/>
          <w:szCs w:val="20"/>
        </w:rPr>
      </w:pPr>
      <w:r w:rsidRPr="007D09CB">
        <w:rPr>
          <w:rFonts w:ascii="Open Sans" w:eastAsia="Calibri" w:hAnsi="Open Sans" w:cs="Open Sans"/>
          <w:sz w:val="20"/>
          <w:szCs w:val="20"/>
        </w:rPr>
        <w:t>Fysiske samlinger organiseres regionalt for å redusere reisevei for deltakerne, mens digitale samlinger slår sammen regioner.</w:t>
      </w:r>
    </w:p>
    <w:p w14:paraId="20BC10AE" w14:textId="77777777" w:rsidR="007D09CB" w:rsidRPr="007D09CB" w:rsidRDefault="007D09CB" w:rsidP="007D09CB">
      <w:pPr>
        <w:spacing w:after="0" w:line="240" w:lineRule="auto"/>
        <w:rPr>
          <w:rFonts w:ascii="Open Sans" w:eastAsia="Calibri" w:hAnsi="Open Sans" w:cs="Open Sans"/>
          <w:sz w:val="20"/>
          <w:szCs w:val="20"/>
        </w:rPr>
      </w:pPr>
    </w:p>
    <w:p w14:paraId="69D8A213" w14:textId="77777777" w:rsidR="007D09CB" w:rsidRPr="007D09CB" w:rsidRDefault="007D09CB" w:rsidP="007D09CB">
      <w:pPr>
        <w:spacing w:after="0" w:line="240" w:lineRule="auto"/>
        <w:rPr>
          <w:rFonts w:ascii="Open Sans" w:eastAsia="Calibri" w:hAnsi="Open Sans" w:cs="Open Sans"/>
          <w:sz w:val="20"/>
          <w:szCs w:val="20"/>
        </w:rPr>
      </w:pPr>
    </w:p>
    <w:p w14:paraId="36CE9BF4" w14:textId="77777777" w:rsidR="007D09CB" w:rsidRPr="007D09CB" w:rsidRDefault="007D09CB" w:rsidP="007D09CB">
      <w:pPr>
        <w:spacing w:after="0" w:line="240" w:lineRule="auto"/>
        <w:rPr>
          <w:rFonts w:ascii="Open Sans" w:eastAsia="Calibri" w:hAnsi="Open Sans" w:cs="Open Sans"/>
          <w:sz w:val="20"/>
          <w:szCs w:val="20"/>
        </w:rPr>
      </w:pPr>
      <w:r w:rsidRPr="007D09CB">
        <w:rPr>
          <w:rFonts w:ascii="Open Sans" w:eastAsia="Calibri" w:hAnsi="Open Sans" w:cs="Open Sans"/>
          <w:sz w:val="20"/>
          <w:szCs w:val="20"/>
        </w:rPr>
        <w:t>Litteratur</w:t>
      </w:r>
    </w:p>
    <w:p w14:paraId="2F41AC72" w14:textId="77777777" w:rsidR="007D09CB" w:rsidRPr="007D09CB" w:rsidRDefault="007D09CB" w:rsidP="007D09CB">
      <w:pPr>
        <w:spacing w:after="0" w:line="240" w:lineRule="auto"/>
        <w:rPr>
          <w:rFonts w:ascii="Open Sans" w:eastAsia="Calibri" w:hAnsi="Open Sans" w:cs="Open Sans"/>
          <w:sz w:val="20"/>
          <w:szCs w:val="20"/>
          <w:lang w:val="en-US"/>
        </w:rPr>
      </w:pPr>
      <w:proofErr w:type="spellStart"/>
      <w:r w:rsidRPr="001C3330">
        <w:rPr>
          <w:rFonts w:ascii="Open Sans" w:eastAsia="Calibri" w:hAnsi="Open Sans" w:cs="Open Sans"/>
          <w:sz w:val="20"/>
          <w:szCs w:val="20"/>
        </w:rPr>
        <w:t>Brookhart</w:t>
      </w:r>
      <w:proofErr w:type="spellEnd"/>
      <w:r w:rsidRPr="001C3330">
        <w:rPr>
          <w:rFonts w:ascii="Open Sans" w:eastAsia="Calibri" w:hAnsi="Open Sans" w:cs="Open Sans"/>
          <w:sz w:val="20"/>
          <w:szCs w:val="20"/>
        </w:rPr>
        <w:t xml:space="preserve">, S. M., </w:t>
      </w:r>
      <w:proofErr w:type="spellStart"/>
      <w:r w:rsidRPr="001C3330">
        <w:rPr>
          <w:rFonts w:ascii="Open Sans" w:eastAsia="Calibri" w:hAnsi="Open Sans" w:cs="Open Sans"/>
          <w:sz w:val="20"/>
          <w:szCs w:val="20"/>
        </w:rPr>
        <w:t>Guskey</w:t>
      </w:r>
      <w:proofErr w:type="spellEnd"/>
      <w:r w:rsidRPr="001C3330">
        <w:rPr>
          <w:rFonts w:ascii="Open Sans" w:eastAsia="Calibri" w:hAnsi="Open Sans" w:cs="Open Sans"/>
          <w:sz w:val="20"/>
          <w:szCs w:val="20"/>
        </w:rPr>
        <w:t xml:space="preserve">, T. R., Bowers, A. J., </w:t>
      </w:r>
      <w:proofErr w:type="spellStart"/>
      <w:r w:rsidRPr="001C3330">
        <w:rPr>
          <w:rFonts w:ascii="Open Sans" w:eastAsia="Calibri" w:hAnsi="Open Sans" w:cs="Open Sans"/>
          <w:sz w:val="20"/>
          <w:szCs w:val="20"/>
        </w:rPr>
        <w:t>McMillan</w:t>
      </w:r>
      <w:proofErr w:type="spellEnd"/>
      <w:r w:rsidRPr="001C3330">
        <w:rPr>
          <w:rFonts w:ascii="Open Sans" w:eastAsia="Calibri" w:hAnsi="Open Sans" w:cs="Open Sans"/>
          <w:sz w:val="20"/>
          <w:szCs w:val="20"/>
        </w:rPr>
        <w:t xml:space="preserve">, J. H., Smith, J. K., Smith, L. F., Stevens, M. T., &amp; </w:t>
      </w:r>
      <w:proofErr w:type="spellStart"/>
      <w:r w:rsidRPr="001C3330">
        <w:rPr>
          <w:rFonts w:ascii="Open Sans" w:eastAsia="Calibri" w:hAnsi="Open Sans" w:cs="Open Sans"/>
          <w:sz w:val="20"/>
          <w:szCs w:val="20"/>
        </w:rPr>
        <w:t>Welsh</w:t>
      </w:r>
      <w:proofErr w:type="spellEnd"/>
      <w:r w:rsidRPr="001C3330">
        <w:rPr>
          <w:rFonts w:ascii="Open Sans" w:eastAsia="Calibri" w:hAnsi="Open Sans" w:cs="Open Sans"/>
          <w:sz w:val="20"/>
          <w:szCs w:val="20"/>
        </w:rPr>
        <w:t xml:space="preserve">, M. E. (2016). </w:t>
      </w:r>
      <w:r w:rsidRPr="007D09CB">
        <w:rPr>
          <w:rFonts w:ascii="Open Sans" w:eastAsia="Calibri" w:hAnsi="Open Sans" w:cs="Open Sans"/>
          <w:sz w:val="20"/>
          <w:szCs w:val="20"/>
          <w:lang w:val="en-US"/>
        </w:rPr>
        <w:t xml:space="preserve">A Century of Grading Research. </w:t>
      </w:r>
      <w:r w:rsidRPr="007D09CB">
        <w:rPr>
          <w:rFonts w:ascii="Open Sans" w:eastAsia="Calibri" w:hAnsi="Open Sans" w:cs="Open Sans"/>
          <w:i/>
          <w:iCs/>
          <w:sz w:val="20"/>
          <w:szCs w:val="20"/>
          <w:lang w:val="en-US"/>
        </w:rPr>
        <w:t>Review of Educational Research</w:t>
      </w:r>
      <w:r w:rsidRPr="007D09CB">
        <w:rPr>
          <w:rFonts w:ascii="Open Sans" w:eastAsia="Calibri" w:hAnsi="Open Sans" w:cs="Open Sans"/>
          <w:sz w:val="20"/>
          <w:szCs w:val="20"/>
          <w:lang w:val="en-US"/>
        </w:rPr>
        <w:t xml:space="preserve">, </w:t>
      </w:r>
      <w:r w:rsidRPr="007D09CB">
        <w:rPr>
          <w:rFonts w:ascii="Open Sans" w:eastAsia="Calibri" w:hAnsi="Open Sans" w:cs="Open Sans"/>
          <w:i/>
          <w:iCs/>
          <w:sz w:val="20"/>
          <w:szCs w:val="20"/>
          <w:lang w:val="en-US"/>
        </w:rPr>
        <w:t>86</w:t>
      </w:r>
      <w:r w:rsidRPr="007D09CB">
        <w:rPr>
          <w:rFonts w:ascii="Open Sans" w:eastAsia="Calibri" w:hAnsi="Open Sans" w:cs="Open Sans"/>
          <w:sz w:val="20"/>
          <w:szCs w:val="20"/>
          <w:lang w:val="en-US"/>
        </w:rPr>
        <w:t xml:space="preserve">(4), 803–848. </w:t>
      </w:r>
      <w:hyperlink r:id="rId8">
        <w:r w:rsidRPr="007D09CB">
          <w:rPr>
            <w:rStyle w:val="Hyperkobling"/>
            <w:rFonts w:ascii="Open Sans" w:eastAsia="Calibri" w:hAnsi="Open Sans" w:cs="Open Sans"/>
            <w:sz w:val="20"/>
            <w:szCs w:val="20"/>
            <w:lang w:val="en-US"/>
          </w:rPr>
          <w:t>https://doi.org/10.3102/0034654316672069</w:t>
        </w:r>
      </w:hyperlink>
    </w:p>
    <w:p w14:paraId="05814BDD" w14:textId="77777777" w:rsidR="007D09CB" w:rsidRPr="007D09CB" w:rsidRDefault="007D09CB" w:rsidP="007D09CB">
      <w:pPr>
        <w:spacing w:after="0" w:line="240" w:lineRule="auto"/>
        <w:rPr>
          <w:rFonts w:ascii="Open Sans" w:eastAsia="Calibri" w:hAnsi="Open Sans" w:cs="Open Sans"/>
          <w:sz w:val="20"/>
          <w:szCs w:val="20"/>
        </w:rPr>
      </w:pPr>
      <w:proofErr w:type="spellStart"/>
      <w:r w:rsidRPr="007D09CB">
        <w:rPr>
          <w:rFonts w:ascii="Open Sans" w:eastAsia="Calibri" w:hAnsi="Open Sans" w:cs="Open Sans"/>
          <w:sz w:val="20"/>
          <w:szCs w:val="20"/>
        </w:rPr>
        <w:t>Björklund</w:t>
      </w:r>
      <w:proofErr w:type="spellEnd"/>
      <w:r w:rsidRPr="007D09CB">
        <w:rPr>
          <w:rFonts w:ascii="Open Sans" w:eastAsia="Calibri" w:hAnsi="Open Sans" w:cs="Open Sans"/>
          <w:sz w:val="20"/>
          <w:szCs w:val="20"/>
        </w:rPr>
        <w:t xml:space="preserve">, A., Fredriksson, P., Gustafsson, J.-E., &amp; </w:t>
      </w:r>
      <w:proofErr w:type="spellStart"/>
      <w:r w:rsidRPr="007D09CB">
        <w:rPr>
          <w:rFonts w:ascii="Open Sans" w:eastAsia="Calibri" w:hAnsi="Open Sans" w:cs="Open Sans"/>
          <w:sz w:val="20"/>
          <w:szCs w:val="20"/>
        </w:rPr>
        <w:t>Öckert</w:t>
      </w:r>
      <w:proofErr w:type="spellEnd"/>
      <w:r w:rsidRPr="007D09CB">
        <w:rPr>
          <w:rFonts w:ascii="Open Sans" w:eastAsia="Calibri" w:hAnsi="Open Sans" w:cs="Open Sans"/>
          <w:sz w:val="20"/>
          <w:szCs w:val="20"/>
        </w:rPr>
        <w:t xml:space="preserve">, B. (2010). </w:t>
      </w:r>
      <w:r w:rsidRPr="007D09CB">
        <w:rPr>
          <w:rFonts w:ascii="Open Sans" w:eastAsia="Calibri" w:hAnsi="Open Sans" w:cs="Open Sans"/>
          <w:i/>
          <w:iCs/>
          <w:sz w:val="20"/>
          <w:szCs w:val="20"/>
        </w:rPr>
        <w:t xml:space="preserve">Den </w:t>
      </w:r>
      <w:proofErr w:type="spellStart"/>
      <w:r w:rsidRPr="007D09CB">
        <w:rPr>
          <w:rFonts w:ascii="Open Sans" w:eastAsia="Calibri" w:hAnsi="Open Sans" w:cs="Open Sans"/>
          <w:i/>
          <w:iCs/>
          <w:sz w:val="20"/>
          <w:szCs w:val="20"/>
        </w:rPr>
        <w:t>svenska</w:t>
      </w:r>
      <w:proofErr w:type="spellEnd"/>
      <w:r w:rsidRPr="007D09CB">
        <w:rPr>
          <w:rFonts w:ascii="Open Sans" w:eastAsia="Calibri" w:hAnsi="Open Sans" w:cs="Open Sans"/>
          <w:i/>
          <w:iCs/>
          <w:sz w:val="20"/>
          <w:szCs w:val="20"/>
        </w:rPr>
        <w:t xml:space="preserve"> </w:t>
      </w:r>
      <w:proofErr w:type="spellStart"/>
      <w:r w:rsidRPr="007D09CB">
        <w:rPr>
          <w:rFonts w:ascii="Open Sans" w:eastAsia="Calibri" w:hAnsi="Open Sans" w:cs="Open Sans"/>
          <w:i/>
          <w:iCs/>
          <w:sz w:val="20"/>
          <w:szCs w:val="20"/>
        </w:rPr>
        <w:t>utbildningspolitikens</w:t>
      </w:r>
      <w:proofErr w:type="spellEnd"/>
      <w:r w:rsidRPr="007D09CB">
        <w:rPr>
          <w:rFonts w:ascii="Open Sans" w:eastAsia="Calibri" w:hAnsi="Open Sans" w:cs="Open Sans"/>
          <w:i/>
          <w:iCs/>
          <w:sz w:val="20"/>
          <w:szCs w:val="20"/>
        </w:rPr>
        <w:t xml:space="preserve"> </w:t>
      </w:r>
      <w:proofErr w:type="spellStart"/>
      <w:r w:rsidRPr="007D09CB">
        <w:rPr>
          <w:rFonts w:ascii="Open Sans" w:eastAsia="Calibri" w:hAnsi="Open Sans" w:cs="Open Sans"/>
          <w:i/>
          <w:iCs/>
          <w:sz w:val="20"/>
          <w:szCs w:val="20"/>
        </w:rPr>
        <w:t>arbetsmarknadseffekter</w:t>
      </w:r>
      <w:proofErr w:type="spellEnd"/>
      <w:r w:rsidRPr="007D09CB">
        <w:rPr>
          <w:rFonts w:ascii="Open Sans" w:eastAsia="Calibri" w:hAnsi="Open Sans" w:cs="Open Sans"/>
          <w:i/>
          <w:iCs/>
          <w:sz w:val="20"/>
          <w:szCs w:val="20"/>
        </w:rPr>
        <w:t xml:space="preserve">: vad </w:t>
      </w:r>
      <w:proofErr w:type="spellStart"/>
      <w:r w:rsidRPr="007D09CB">
        <w:rPr>
          <w:rFonts w:ascii="Open Sans" w:eastAsia="Calibri" w:hAnsi="Open Sans" w:cs="Open Sans"/>
          <w:i/>
          <w:iCs/>
          <w:sz w:val="20"/>
          <w:szCs w:val="20"/>
        </w:rPr>
        <w:t>säger</w:t>
      </w:r>
      <w:proofErr w:type="spellEnd"/>
      <w:r w:rsidRPr="007D09CB">
        <w:rPr>
          <w:rFonts w:ascii="Open Sans" w:eastAsia="Calibri" w:hAnsi="Open Sans" w:cs="Open Sans"/>
          <w:i/>
          <w:iCs/>
          <w:sz w:val="20"/>
          <w:szCs w:val="20"/>
        </w:rPr>
        <w:t xml:space="preserve"> forskningen? Rapport 2010:13</w:t>
      </w:r>
      <w:r w:rsidRPr="007D09CB">
        <w:rPr>
          <w:rFonts w:ascii="Open Sans" w:eastAsia="Calibri" w:hAnsi="Open Sans" w:cs="Open Sans"/>
          <w:sz w:val="20"/>
          <w:szCs w:val="20"/>
        </w:rPr>
        <w:t xml:space="preserve">. </w:t>
      </w:r>
      <w:proofErr w:type="spellStart"/>
      <w:r w:rsidRPr="007D09CB">
        <w:rPr>
          <w:rFonts w:ascii="Open Sans" w:eastAsia="Calibri" w:hAnsi="Open Sans" w:cs="Open Sans"/>
          <w:sz w:val="20"/>
          <w:szCs w:val="20"/>
        </w:rPr>
        <w:t>Institutet</w:t>
      </w:r>
      <w:proofErr w:type="spellEnd"/>
      <w:r w:rsidRPr="007D09CB">
        <w:rPr>
          <w:rFonts w:ascii="Open Sans" w:eastAsia="Calibri" w:hAnsi="Open Sans" w:cs="Open Sans"/>
          <w:sz w:val="20"/>
          <w:szCs w:val="20"/>
        </w:rPr>
        <w:t xml:space="preserve"> </w:t>
      </w:r>
      <w:proofErr w:type="spellStart"/>
      <w:r w:rsidRPr="007D09CB">
        <w:rPr>
          <w:rFonts w:ascii="Open Sans" w:eastAsia="Calibri" w:hAnsi="Open Sans" w:cs="Open Sans"/>
          <w:sz w:val="20"/>
          <w:szCs w:val="20"/>
        </w:rPr>
        <w:t>för</w:t>
      </w:r>
      <w:proofErr w:type="spellEnd"/>
      <w:r w:rsidRPr="007D09CB">
        <w:rPr>
          <w:rFonts w:ascii="Open Sans" w:eastAsia="Calibri" w:hAnsi="Open Sans" w:cs="Open Sans"/>
          <w:sz w:val="20"/>
          <w:szCs w:val="20"/>
        </w:rPr>
        <w:t xml:space="preserve"> </w:t>
      </w:r>
      <w:proofErr w:type="spellStart"/>
      <w:r w:rsidRPr="007D09CB">
        <w:rPr>
          <w:rFonts w:ascii="Open Sans" w:eastAsia="Calibri" w:hAnsi="Open Sans" w:cs="Open Sans"/>
          <w:sz w:val="20"/>
          <w:szCs w:val="20"/>
        </w:rPr>
        <w:t>arbetsmarknadspolitisk</w:t>
      </w:r>
      <w:proofErr w:type="spellEnd"/>
      <w:r w:rsidRPr="007D09CB">
        <w:rPr>
          <w:rFonts w:ascii="Open Sans" w:eastAsia="Calibri" w:hAnsi="Open Sans" w:cs="Open Sans"/>
          <w:sz w:val="20"/>
          <w:szCs w:val="20"/>
        </w:rPr>
        <w:t xml:space="preserve"> </w:t>
      </w:r>
      <w:proofErr w:type="spellStart"/>
      <w:r w:rsidRPr="007D09CB">
        <w:rPr>
          <w:rFonts w:ascii="Open Sans" w:eastAsia="Calibri" w:hAnsi="Open Sans" w:cs="Open Sans"/>
          <w:sz w:val="20"/>
          <w:szCs w:val="20"/>
        </w:rPr>
        <w:t>utvärdering</w:t>
      </w:r>
      <w:proofErr w:type="spellEnd"/>
      <w:r w:rsidRPr="007D09CB">
        <w:rPr>
          <w:rFonts w:ascii="Open Sans" w:eastAsia="Calibri" w:hAnsi="Open Sans" w:cs="Open Sans"/>
          <w:sz w:val="20"/>
          <w:szCs w:val="20"/>
        </w:rPr>
        <w:t xml:space="preserve"> (IFAU). </w:t>
      </w:r>
      <w:hyperlink r:id="rId9">
        <w:r w:rsidRPr="007D09CB">
          <w:rPr>
            <w:rStyle w:val="Hyperkobling"/>
            <w:rFonts w:ascii="Open Sans" w:eastAsia="Calibri" w:hAnsi="Open Sans" w:cs="Open Sans"/>
            <w:sz w:val="20"/>
            <w:szCs w:val="20"/>
          </w:rPr>
          <w:t>https://www.ifau.se/globalassets/pdf/se/2010/r10-13-den-svenska-utbildningspolitikens-arbetsmarknadseffekter-vad-sager-forskningen.pdf</w:t>
        </w:r>
      </w:hyperlink>
    </w:p>
    <w:p w14:paraId="4C480479" w14:textId="77777777" w:rsidR="007D09CB" w:rsidRPr="007D09CB" w:rsidRDefault="007D09CB" w:rsidP="007D09CB">
      <w:pPr>
        <w:spacing w:after="0" w:line="240" w:lineRule="auto"/>
        <w:rPr>
          <w:rFonts w:ascii="Open Sans" w:eastAsia="Calibri" w:hAnsi="Open Sans" w:cs="Open Sans"/>
          <w:sz w:val="20"/>
          <w:szCs w:val="20"/>
        </w:rPr>
      </w:pPr>
      <w:r w:rsidRPr="007D09CB">
        <w:rPr>
          <w:rFonts w:ascii="Open Sans" w:eastAsia="Calibri" w:hAnsi="Open Sans" w:cs="Open Sans"/>
          <w:sz w:val="20"/>
          <w:szCs w:val="20"/>
          <w:lang w:val="nn-NO"/>
        </w:rPr>
        <w:t xml:space="preserve">Björnsson, J. K., &amp; Skar, G. B. (2021). </w:t>
      </w:r>
      <w:proofErr w:type="spellStart"/>
      <w:r w:rsidRPr="007D09CB">
        <w:rPr>
          <w:rFonts w:ascii="Open Sans" w:eastAsia="Calibri" w:hAnsi="Open Sans" w:cs="Open Sans"/>
          <w:i/>
          <w:iCs/>
          <w:sz w:val="20"/>
          <w:szCs w:val="20"/>
        </w:rPr>
        <w:t>Sensorreliabilitetpå</w:t>
      </w:r>
      <w:proofErr w:type="spellEnd"/>
      <w:r w:rsidRPr="007D09CB">
        <w:rPr>
          <w:rFonts w:ascii="Open Sans" w:eastAsia="Calibri" w:hAnsi="Open Sans" w:cs="Open Sans"/>
          <w:i/>
          <w:iCs/>
          <w:sz w:val="20"/>
          <w:szCs w:val="20"/>
        </w:rPr>
        <w:t xml:space="preserve"> skriftlig eksamen i videregående opplæring</w:t>
      </w:r>
      <w:r w:rsidRPr="007D09CB">
        <w:rPr>
          <w:rFonts w:ascii="Open Sans" w:eastAsia="Calibri" w:hAnsi="Open Sans" w:cs="Open Sans"/>
          <w:sz w:val="20"/>
          <w:szCs w:val="20"/>
        </w:rPr>
        <w:t xml:space="preserve">. </w:t>
      </w:r>
      <w:hyperlink r:id="rId10">
        <w:r w:rsidRPr="007D09CB">
          <w:rPr>
            <w:rStyle w:val="Hyperkobling"/>
            <w:rFonts w:ascii="Open Sans" w:eastAsia="Calibri" w:hAnsi="Open Sans" w:cs="Open Sans"/>
            <w:sz w:val="20"/>
            <w:szCs w:val="20"/>
          </w:rPr>
          <w:t>https://folk.ntnu.no/gustafsk/Bjornsson-Skar-2021-Sensorreliabilitet-pa-skriftlig-eksamen-i-vgo.pdf</w:t>
        </w:r>
      </w:hyperlink>
    </w:p>
    <w:p w14:paraId="01E06FBA" w14:textId="77777777" w:rsidR="007D09CB" w:rsidRPr="007D09CB" w:rsidRDefault="007D09CB" w:rsidP="007D09CB">
      <w:pPr>
        <w:spacing w:after="0" w:line="240" w:lineRule="auto"/>
        <w:rPr>
          <w:rFonts w:ascii="Open Sans" w:eastAsia="Calibri" w:hAnsi="Open Sans" w:cs="Open Sans"/>
          <w:sz w:val="20"/>
          <w:szCs w:val="20"/>
        </w:rPr>
      </w:pPr>
    </w:p>
    <w:p w14:paraId="1A2AD6EA" w14:textId="77777777" w:rsidR="007D09CB" w:rsidRPr="007D09CB" w:rsidRDefault="007D09CB" w:rsidP="007D09CB">
      <w:pPr>
        <w:spacing w:after="0" w:line="240" w:lineRule="auto"/>
        <w:rPr>
          <w:rFonts w:ascii="Open Sans" w:eastAsia="Calibri" w:hAnsi="Open Sans" w:cs="Open Sans"/>
          <w:sz w:val="20"/>
          <w:szCs w:val="20"/>
        </w:rPr>
      </w:pPr>
    </w:p>
    <w:p w14:paraId="78838627" w14:textId="77777777" w:rsidR="007D09CB" w:rsidRPr="007D09CB" w:rsidRDefault="007D09CB" w:rsidP="007D09CB">
      <w:pPr>
        <w:spacing w:after="0" w:line="240" w:lineRule="auto"/>
        <w:rPr>
          <w:rFonts w:ascii="Open Sans" w:eastAsia="Calibri" w:hAnsi="Open Sans" w:cs="Open Sans"/>
          <w:sz w:val="20"/>
          <w:szCs w:val="20"/>
        </w:rPr>
      </w:pPr>
    </w:p>
    <w:p w14:paraId="68BE9162" w14:textId="77777777" w:rsidR="007D09CB" w:rsidRPr="007D09CB" w:rsidRDefault="007D09CB" w:rsidP="007D09CB">
      <w:pPr>
        <w:spacing w:after="0" w:line="240" w:lineRule="auto"/>
        <w:rPr>
          <w:rFonts w:ascii="Open Sans" w:eastAsia="Calibri" w:hAnsi="Open Sans" w:cs="Open Sans"/>
          <w:sz w:val="20"/>
          <w:szCs w:val="20"/>
        </w:rPr>
      </w:pPr>
    </w:p>
    <w:p w14:paraId="71DC4952" w14:textId="77777777" w:rsidR="007D09CB" w:rsidRPr="007D09CB" w:rsidRDefault="007D09CB" w:rsidP="007D09CB">
      <w:pPr>
        <w:spacing w:after="0" w:line="240" w:lineRule="auto"/>
        <w:rPr>
          <w:rFonts w:ascii="Open Sans" w:eastAsia="Calibri" w:hAnsi="Open Sans" w:cs="Open Sans"/>
          <w:sz w:val="20"/>
          <w:szCs w:val="20"/>
        </w:rPr>
      </w:pPr>
    </w:p>
    <w:p w14:paraId="611B8194" w14:textId="77777777" w:rsidR="001E0EC9" w:rsidRPr="001E0EC9" w:rsidRDefault="001E0EC9" w:rsidP="001E0EC9">
      <w:pPr>
        <w:spacing w:after="0" w:line="240" w:lineRule="auto"/>
        <w:rPr>
          <w:rFonts w:ascii="Open Sans" w:eastAsia="Calibri" w:hAnsi="Open Sans" w:cs="Open Sans"/>
          <w:sz w:val="20"/>
          <w:szCs w:val="20"/>
        </w:rPr>
      </w:pPr>
    </w:p>
    <w:p w14:paraId="7746F90B" w14:textId="77777777" w:rsidR="001E0EC9" w:rsidRPr="001E0EC9" w:rsidRDefault="001E0EC9" w:rsidP="001E0EC9">
      <w:pPr>
        <w:rPr>
          <w:rFonts w:ascii="Open Sans" w:eastAsia="Calibri" w:hAnsi="Open Sans" w:cs="Open Sans"/>
        </w:rPr>
      </w:pPr>
    </w:p>
    <w:p w14:paraId="78CD2336" w14:textId="77777777" w:rsidR="001E0EC9" w:rsidRPr="001E0EC9" w:rsidRDefault="001E0EC9" w:rsidP="001E0EC9">
      <w:pPr>
        <w:rPr>
          <w:rFonts w:ascii="Open Sans" w:eastAsia="Calibri" w:hAnsi="Open Sans" w:cs="Open Sans"/>
        </w:rPr>
      </w:pPr>
    </w:p>
    <w:p w14:paraId="70CCD782" w14:textId="77777777" w:rsidR="001E0EC9" w:rsidRPr="001E0EC9" w:rsidRDefault="001E0EC9" w:rsidP="001E0EC9">
      <w:pPr>
        <w:rPr>
          <w:rFonts w:ascii="Open Sans" w:eastAsia="Calibri" w:hAnsi="Open Sans" w:cs="Open Sans"/>
        </w:rPr>
      </w:pPr>
    </w:p>
    <w:p w14:paraId="3AC90A0C" w14:textId="77777777" w:rsidR="001E0EC9" w:rsidRPr="00BA72E9" w:rsidRDefault="001E0EC9" w:rsidP="00BA72E9">
      <w:pPr>
        <w:rPr>
          <w:rFonts w:ascii="Open Sans" w:eastAsia="Calibri" w:hAnsi="Open Sans" w:cs="Open Sans"/>
        </w:rPr>
      </w:pPr>
    </w:p>
    <w:sectPr w:rsidR="001E0EC9" w:rsidRPr="00BA72E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85E16" w14:textId="77777777" w:rsidR="00130071" w:rsidRDefault="00130071" w:rsidP="00E777DA">
      <w:pPr>
        <w:spacing w:after="0" w:line="240" w:lineRule="auto"/>
      </w:pPr>
      <w:r>
        <w:separator/>
      </w:r>
    </w:p>
  </w:endnote>
  <w:endnote w:type="continuationSeparator" w:id="0">
    <w:p w14:paraId="5456E00F" w14:textId="77777777" w:rsidR="00130071" w:rsidRDefault="00130071" w:rsidP="00E77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772403"/>
      <w:docPartObj>
        <w:docPartGallery w:val="Page Numbers (Bottom of Page)"/>
        <w:docPartUnique/>
      </w:docPartObj>
    </w:sdtPr>
    <w:sdtEndPr/>
    <w:sdtContent>
      <w:p w14:paraId="7DDC497B" w14:textId="567B06A3" w:rsidR="00AA572C" w:rsidRDefault="00AA572C">
        <w:pPr>
          <w:pStyle w:val="Bunntekst"/>
          <w:jc w:val="right"/>
        </w:pPr>
        <w:r>
          <w:fldChar w:fldCharType="begin"/>
        </w:r>
        <w:r>
          <w:instrText>PAGE   \* MERGEFORMAT</w:instrText>
        </w:r>
        <w:r>
          <w:fldChar w:fldCharType="separate"/>
        </w:r>
        <w:r>
          <w:t>2</w:t>
        </w:r>
        <w:r>
          <w:fldChar w:fldCharType="end"/>
        </w:r>
      </w:p>
    </w:sdtContent>
  </w:sdt>
  <w:p w14:paraId="222A707B" w14:textId="77777777" w:rsidR="00AA572C" w:rsidRDefault="00AA572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813CF" w14:textId="77777777" w:rsidR="00130071" w:rsidRDefault="00130071" w:rsidP="00E777DA">
      <w:pPr>
        <w:spacing w:after="0" w:line="240" w:lineRule="auto"/>
      </w:pPr>
      <w:r>
        <w:separator/>
      </w:r>
    </w:p>
  </w:footnote>
  <w:footnote w:type="continuationSeparator" w:id="0">
    <w:p w14:paraId="53402FCB" w14:textId="77777777" w:rsidR="00130071" w:rsidRDefault="00130071" w:rsidP="00E777DA">
      <w:pPr>
        <w:spacing w:after="0" w:line="240" w:lineRule="auto"/>
      </w:pPr>
      <w:r>
        <w:continuationSeparator/>
      </w:r>
    </w:p>
  </w:footnote>
  <w:footnote w:id="1">
    <w:p w14:paraId="02D84CD0" w14:textId="1C867EAA" w:rsidR="00694DF7" w:rsidRDefault="00694DF7">
      <w:pPr>
        <w:pStyle w:val="Fotnotetekst"/>
      </w:pPr>
      <w:r>
        <w:rPr>
          <w:rStyle w:val="Fotnotereferanse"/>
        </w:rPr>
        <w:footnoteRef/>
      </w:r>
      <w:r>
        <w:t xml:space="preserve"> </w:t>
      </w:r>
      <w:r w:rsidRPr="00694DF7">
        <w:rPr>
          <w:sz w:val="18"/>
          <w:szCs w:val="18"/>
        </w:rPr>
        <w:t xml:space="preserve">Tiltaket het tidligere </w:t>
      </w:r>
      <w:r w:rsidRPr="00694DF7">
        <w:rPr>
          <w:rFonts w:ascii="Open Sans" w:hAnsi="Open Sans" w:cs="Open Sans"/>
          <w:sz w:val="18"/>
          <w:szCs w:val="18"/>
        </w:rPr>
        <w:t>Læreplan og vurdering</w:t>
      </w:r>
    </w:p>
  </w:footnote>
  <w:footnote w:id="2">
    <w:p w14:paraId="62BB6788" w14:textId="5CC5FC20" w:rsidR="00103137" w:rsidRDefault="00103137">
      <w:pPr>
        <w:pStyle w:val="Fotnotetekst"/>
      </w:pPr>
      <w:r>
        <w:rPr>
          <w:rStyle w:val="Fotnotereferanse"/>
        </w:rPr>
        <w:footnoteRef/>
      </w:r>
      <w:r>
        <w:t xml:space="preserve"> OsloMet har ansvar for følgeforskning på Dekom</w:t>
      </w:r>
      <w:r w:rsidR="00CE34C9">
        <w:t>.</w:t>
      </w:r>
    </w:p>
  </w:footnote>
  <w:footnote w:id="3">
    <w:p w14:paraId="2AF5BE22" w14:textId="77777777" w:rsidR="007D09CB" w:rsidRDefault="007D09CB" w:rsidP="007D09CB">
      <w:pPr>
        <w:pStyle w:val="Fotnotetekst"/>
      </w:pPr>
      <w:r>
        <w:rPr>
          <w:rStyle w:val="Fotnotereferanse"/>
        </w:rPr>
        <w:footnoteRef/>
      </w:r>
      <w:r>
        <w:t xml:space="preserve"> </w:t>
      </w:r>
      <w:r w:rsidRPr="000D0B4B">
        <w:t>https://www.udir.no/tall-og-forskning/evaluering-av-kunnskapslofte</w:t>
      </w:r>
      <w:r>
        <w:t>,</w:t>
      </w:r>
      <w:r w:rsidRPr="000D0B4B">
        <w:t>t/</w:t>
      </w:r>
    </w:p>
  </w:footnote>
  <w:footnote w:id="4">
    <w:p w14:paraId="308BF532" w14:textId="77777777" w:rsidR="007D09CB" w:rsidRPr="00DB5B37" w:rsidRDefault="007D09CB" w:rsidP="007D09CB">
      <w:pPr>
        <w:pStyle w:val="Fotnotetekst"/>
        <w:rPr>
          <w:rFonts w:ascii="Times New Roman" w:hAnsi="Times New Roman" w:cs="Times New Roman"/>
        </w:rPr>
      </w:pPr>
      <w:r w:rsidRPr="00DB5B37">
        <w:rPr>
          <w:rStyle w:val="Fotnotereferanse"/>
          <w:rFonts w:ascii="Times New Roman" w:hAnsi="Times New Roman" w:cs="Times New Roman"/>
        </w:rPr>
        <w:footnoteRef/>
      </w:r>
      <w:r w:rsidRPr="00DB5B37">
        <w:rPr>
          <w:rFonts w:ascii="Times New Roman" w:hAnsi="Times New Roman" w:cs="Times New Roman"/>
        </w:rPr>
        <w:t xml:space="preserve"> https://www.udir.no/tall-og-forskning/finn-forskning/rapporter/Kunnskapsgrunnlag-for-evaluering-av-eksamensordningen/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759F5"/>
    <w:multiLevelType w:val="hybridMultilevel"/>
    <w:tmpl w:val="1274592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CBB0BCB"/>
    <w:multiLevelType w:val="hybridMultilevel"/>
    <w:tmpl w:val="6B2854C4"/>
    <w:lvl w:ilvl="0" w:tplc="DFE4B2CA">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90466B4"/>
    <w:multiLevelType w:val="hybridMultilevel"/>
    <w:tmpl w:val="8D7A23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BC4725A"/>
    <w:multiLevelType w:val="hybridMultilevel"/>
    <w:tmpl w:val="883623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24A7382"/>
    <w:multiLevelType w:val="hybridMultilevel"/>
    <w:tmpl w:val="1402FDF6"/>
    <w:lvl w:ilvl="0" w:tplc="C3B2F6F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DD26D21"/>
    <w:multiLevelType w:val="hybridMultilevel"/>
    <w:tmpl w:val="9DC652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EA57DC1"/>
    <w:multiLevelType w:val="hybridMultilevel"/>
    <w:tmpl w:val="57C6B324"/>
    <w:lvl w:ilvl="0" w:tplc="C3B2F6F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ED95C2A"/>
    <w:multiLevelType w:val="multilevel"/>
    <w:tmpl w:val="88C443C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6D2DAF"/>
    <w:multiLevelType w:val="hybridMultilevel"/>
    <w:tmpl w:val="406E419C"/>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4F12BCC"/>
    <w:multiLevelType w:val="hybridMultilevel"/>
    <w:tmpl w:val="BA0CCEAC"/>
    <w:lvl w:ilvl="0" w:tplc="C3B2F6F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86529B2"/>
    <w:multiLevelType w:val="hybridMultilevel"/>
    <w:tmpl w:val="3586D300"/>
    <w:lvl w:ilvl="0" w:tplc="28CA5B8A">
      <w:numFmt w:val="bullet"/>
      <w:lvlText w:val="-"/>
      <w:lvlJc w:val="left"/>
      <w:pPr>
        <w:ind w:left="720" w:hanging="360"/>
      </w:pPr>
      <w:rPr>
        <w:rFonts w:ascii="Open Sans" w:eastAsiaTheme="minorHAnsi"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E767CD3"/>
    <w:multiLevelType w:val="hybridMultilevel"/>
    <w:tmpl w:val="12267A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1E70407"/>
    <w:multiLevelType w:val="hybridMultilevel"/>
    <w:tmpl w:val="4EBC1422"/>
    <w:lvl w:ilvl="0" w:tplc="04140001">
      <w:start w:val="1"/>
      <w:numFmt w:val="bullet"/>
      <w:lvlText w:val=""/>
      <w:lvlJc w:val="left"/>
      <w:pPr>
        <w:ind w:left="720" w:hanging="360"/>
      </w:pPr>
      <w:rPr>
        <w:rFonts w:ascii="Symbol" w:hAnsi="Symbol" w:hint="default"/>
        <w:sz w:val="16"/>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099057508">
    <w:abstractNumId w:val="1"/>
  </w:num>
  <w:num w:numId="2" w16cid:durableId="317267717">
    <w:abstractNumId w:val="12"/>
  </w:num>
  <w:num w:numId="3" w16cid:durableId="1806778655">
    <w:abstractNumId w:val="11"/>
  </w:num>
  <w:num w:numId="4" w16cid:durableId="1726177572">
    <w:abstractNumId w:val="9"/>
  </w:num>
  <w:num w:numId="5" w16cid:durableId="820539992">
    <w:abstractNumId w:val="4"/>
  </w:num>
  <w:num w:numId="6" w16cid:durableId="850802947">
    <w:abstractNumId w:val="6"/>
  </w:num>
  <w:num w:numId="7" w16cid:durableId="1998875703">
    <w:abstractNumId w:val="0"/>
  </w:num>
  <w:num w:numId="8" w16cid:durableId="911618053">
    <w:abstractNumId w:val="10"/>
  </w:num>
  <w:num w:numId="9" w16cid:durableId="503478678">
    <w:abstractNumId w:val="8"/>
  </w:num>
  <w:num w:numId="10" w16cid:durableId="1502164476">
    <w:abstractNumId w:val="7"/>
  </w:num>
  <w:num w:numId="11" w16cid:durableId="125971892">
    <w:abstractNumId w:val="2"/>
  </w:num>
  <w:num w:numId="12" w16cid:durableId="1130900520">
    <w:abstractNumId w:val="5"/>
  </w:num>
  <w:num w:numId="13" w16cid:durableId="2280765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705"/>
    <w:rsid w:val="00000477"/>
    <w:rsid w:val="000223B0"/>
    <w:rsid w:val="000270E3"/>
    <w:rsid w:val="0004105D"/>
    <w:rsid w:val="000752ED"/>
    <w:rsid w:val="00091CAD"/>
    <w:rsid w:val="0009403E"/>
    <w:rsid w:val="00097BAA"/>
    <w:rsid w:val="000C29E8"/>
    <w:rsid w:val="000C3B4C"/>
    <w:rsid w:val="000E438A"/>
    <w:rsid w:val="00103137"/>
    <w:rsid w:val="001115BA"/>
    <w:rsid w:val="00130071"/>
    <w:rsid w:val="0013097D"/>
    <w:rsid w:val="00134E1D"/>
    <w:rsid w:val="0015778C"/>
    <w:rsid w:val="001A246B"/>
    <w:rsid w:val="001B27C4"/>
    <w:rsid w:val="001C3330"/>
    <w:rsid w:val="001E08F9"/>
    <w:rsid w:val="001E0EC9"/>
    <w:rsid w:val="001F096C"/>
    <w:rsid w:val="001F7EEE"/>
    <w:rsid w:val="002071C4"/>
    <w:rsid w:val="00270C7A"/>
    <w:rsid w:val="002947D9"/>
    <w:rsid w:val="002D1CF6"/>
    <w:rsid w:val="002D2F15"/>
    <w:rsid w:val="002E1E3A"/>
    <w:rsid w:val="002E4FBF"/>
    <w:rsid w:val="00325053"/>
    <w:rsid w:val="003B5387"/>
    <w:rsid w:val="003D3705"/>
    <w:rsid w:val="0041480B"/>
    <w:rsid w:val="00436F17"/>
    <w:rsid w:val="004650A2"/>
    <w:rsid w:val="00490C9A"/>
    <w:rsid w:val="004D050D"/>
    <w:rsid w:val="00500E76"/>
    <w:rsid w:val="005277DC"/>
    <w:rsid w:val="00557499"/>
    <w:rsid w:val="00561142"/>
    <w:rsid w:val="005669A7"/>
    <w:rsid w:val="00567A12"/>
    <w:rsid w:val="00577D74"/>
    <w:rsid w:val="005A7946"/>
    <w:rsid w:val="005D163A"/>
    <w:rsid w:val="00694DF7"/>
    <w:rsid w:val="006A439E"/>
    <w:rsid w:val="006A6CC4"/>
    <w:rsid w:val="006C1246"/>
    <w:rsid w:val="006C41F8"/>
    <w:rsid w:val="00705A77"/>
    <w:rsid w:val="007110B6"/>
    <w:rsid w:val="00763F21"/>
    <w:rsid w:val="0077599D"/>
    <w:rsid w:val="007A19B2"/>
    <w:rsid w:val="007D09CB"/>
    <w:rsid w:val="007D5211"/>
    <w:rsid w:val="007E4BA0"/>
    <w:rsid w:val="00805E18"/>
    <w:rsid w:val="008351F8"/>
    <w:rsid w:val="008602B1"/>
    <w:rsid w:val="008C4C46"/>
    <w:rsid w:val="00917F00"/>
    <w:rsid w:val="009207D3"/>
    <w:rsid w:val="009407CB"/>
    <w:rsid w:val="009C7648"/>
    <w:rsid w:val="009D6B24"/>
    <w:rsid w:val="00A04403"/>
    <w:rsid w:val="00A065DE"/>
    <w:rsid w:val="00A157C9"/>
    <w:rsid w:val="00A50AEC"/>
    <w:rsid w:val="00A50CD0"/>
    <w:rsid w:val="00A71BA3"/>
    <w:rsid w:val="00AA572C"/>
    <w:rsid w:val="00AA59DB"/>
    <w:rsid w:val="00AD09A6"/>
    <w:rsid w:val="00AE3250"/>
    <w:rsid w:val="00AE6D35"/>
    <w:rsid w:val="00B51D97"/>
    <w:rsid w:val="00B52207"/>
    <w:rsid w:val="00B74871"/>
    <w:rsid w:val="00B86598"/>
    <w:rsid w:val="00BA6DE7"/>
    <w:rsid w:val="00BA72E9"/>
    <w:rsid w:val="00BD04BB"/>
    <w:rsid w:val="00BD7DB5"/>
    <w:rsid w:val="00C56DCD"/>
    <w:rsid w:val="00C96F46"/>
    <w:rsid w:val="00CC245C"/>
    <w:rsid w:val="00CE34C9"/>
    <w:rsid w:val="00D261B6"/>
    <w:rsid w:val="00D30F25"/>
    <w:rsid w:val="00D64E6F"/>
    <w:rsid w:val="00DD66AB"/>
    <w:rsid w:val="00E07AD0"/>
    <w:rsid w:val="00E1645B"/>
    <w:rsid w:val="00E2568A"/>
    <w:rsid w:val="00E26007"/>
    <w:rsid w:val="00E35342"/>
    <w:rsid w:val="00E36510"/>
    <w:rsid w:val="00E57D33"/>
    <w:rsid w:val="00E777DA"/>
    <w:rsid w:val="00E9463E"/>
    <w:rsid w:val="00EC31CD"/>
    <w:rsid w:val="00ED6AC8"/>
    <w:rsid w:val="00F769EC"/>
    <w:rsid w:val="00FC731C"/>
    <w:rsid w:val="00FE2D4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1EF5C"/>
  <w15:chartTrackingRefBased/>
  <w15:docId w15:val="{9A947152-4D2E-4DE2-A8DF-262821313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510"/>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3D3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3D3705"/>
    <w:pPr>
      <w:ind w:left="720"/>
      <w:contextualSpacing/>
    </w:pPr>
  </w:style>
  <w:style w:type="paragraph" w:styleId="Sterktsitat">
    <w:name w:val="Intense Quote"/>
    <w:basedOn w:val="Normal"/>
    <w:next w:val="Normal"/>
    <w:link w:val="SterktsitatTegn"/>
    <w:uiPriority w:val="30"/>
    <w:qFormat/>
    <w:rsid w:val="001B27C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erktsitatTegn">
    <w:name w:val="Sterkt sitat Tegn"/>
    <w:basedOn w:val="Standardskriftforavsnitt"/>
    <w:link w:val="Sterktsitat"/>
    <w:uiPriority w:val="30"/>
    <w:rsid w:val="001B27C4"/>
    <w:rPr>
      <w:i/>
      <w:iCs/>
      <w:color w:val="4472C4" w:themeColor="accent1"/>
    </w:rPr>
  </w:style>
  <w:style w:type="paragraph" w:styleId="Fotnotetekst">
    <w:name w:val="footnote text"/>
    <w:basedOn w:val="Normal"/>
    <w:link w:val="FotnotetekstTegn"/>
    <w:uiPriority w:val="99"/>
    <w:semiHidden/>
    <w:unhideWhenUsed/>
    <w:rsid w:val="00E777DA"/>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E777DA"/>
    <w:rPr>
      <w:sz w:val="20"/>
      <w:szCs w:val="20"/>
    </w:rPr>
  </w:style>
  <w:style w:type="character" w:styleId="Fotnotereferanse">
    <w:name w:val="footnote reference"/>
    <w:basedOn w:val="Standardskriftforavsnitt"/>
    <w:uiPriority w:val="99"/>
    <w:semiHidden/>
    <w:unhideWhenUsed/>
    <w:rsid w:val="00E777DA"/>
    <w:rPr>
      <w:vertAlign w:val="superscript"/>
    </w:rPr>
  </w:style>
  <w:style w:type="character" w:styleId="Hyperkobling">
    <w:name w:val="Hyperlink"/>
    <w:basedOn w:val="Standardskriftforavsnitt"/>
    <w:uiPriority w:val="99"/>
    <w:unhideWhenUsed/>
    <w:rsid w:val="00E777DA"/>
    <w:rPr>
      <w:color w:val="0563C1" w:themeColor="hyperlink"/>
      <w:u w:val="single"/>
    </w:rPr>
  </w:style>
  <w:style w:type="character" w:styleId="Ulstomtale">
    <w:name w:val="Unresolved Mention"/>
    <w:basedOn w:val="Standardskriftforavsnitt"/>
    <w:uiPriority w:val="99"/>
    <w:semiHidden/>
    <w:unhideWhenUsed/>
    <w:rsid w:val="00E777DA"/>
    <w:rPr>
      <w:color w:val="605E5C"/>
      <w:shd w:val="clear" w:color="auto" w:fill="E1DFDD"/>
    </w:rPr>
  </w:style>
  <w:style w:type="paragraph" w:styleId="Topptekst">
    <w:name w:val="header"/>
    <w:basedOn w:val="Normal"/>
    <w:link w:val="TopptekstTegn"/>
    <w:uiPriority w:val="99"/>
    <w:unhideWhenUsed/>
    <w:rsid w:val="002947D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947D9"/>
  </w:style>
  <w:style w:type="paragraph" w:styleId="Bunntekst">
    <w:name w:val="footer"/>
    <w:basedOn w:val="Normal"/>
    <w:link w:val="BunntekstTegn"/>
    <w:uiPriority w:val="99"/>
    <w:unhideWhenUsed/>
    <w:rsid w:val="002947D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947D9"/>
  </w:style>
  <w:style w:type="character" w:styleId="Merknadsreferanse">
    <w:name w:val="annotation reference"/>
    <w:basedOn w:val="Standardskriftforavsnitt"/>
    <w:uiPriority w:val="99"/>
    <w:semiHidden/>
    <w:unhideWhenUsed/>
    <w:rsid w:val="000C29E8"/>
    <w:rPr>
      <w:sz w:val="16"/>
      <w:szCs w:val="16"/>
    </w:rPr>
  </w:style>
  <w:style w:type="paragraph" w:styleId="Merknadstekst">
    <w:name w:val="annotation text"/>
    <w:basedOn w:val="Normal"/>
    <w:link w:val="MerknadstekstTegn"/>
    <w:uiPriority w:val="99"/>
    <w:unhideWhenUsed/>
    <w:rsid w:val="000C29E8"/>
    <w:pPr>
      <w:spacing w:line="240" w:lineRule="auto"/>
    </w:pPr>
    <w:rPr>
      <w:sz w:val="20"/>
      <w:szCs w:val="20"/>
    </w:rPr>
  </w:style>
  <w:style w:type="character" w:customStyle="1" w:styleId="MerknadstekstTegn">
    <w:name w:val="Merknadstekst Tegn"/>
    <w:basedOn w:val="Standardskriftforavsnitt"/>
    <w:link w:val="Merknadstekst"/>
    <w:uiPriority w:val="99"/>
    <w:rsid w:val="000C29E8"/>
    <w:rPr>
      <w:sz w:val="20"/>
      <w:szCs w:val="20"/>
    </w:rPr>
  </w:style>
  <w:style w:type="paragraph" w:styleId="Kommentaremne">
    <w:name w:val="annotation subject"/>
    <w:basedOn w:val="Merknadstekst"/>
    <w:next w:val="Merknadstekst"/>
    <w:link w:val="KommentaremneTegn"/>
    <w:uiPriority w:val="99"/>
    <w:semiHidden/>
    <w:unhideWhenUsed/>
    <w:rsid w:val="000C29E8"/>
    <w:rPr>
      <w:b/>
      <w:bCs/>
    </w:rPr>
  </w:style>
  <w:style w:type="character" w:customStyle="1" w:styleId="KommentaremneTegn">
    <w:name w:val="Kommentaremne Tegn"/>
    <w:basedOn w:val="MerknadstekstTegn"/>
    <w:link w:val="Kommentaremne"/>
    <w:uiPriority w:val="99"/>
    <w:semiHidden/>
    <w:rsid w:val="000C29E8"/>
    <w:rPr>
      <w:b/>
      <w:bCs/>
      <w:sz w:val="20"/>
      <w:szCs w:val="20"/>
    </w:rPr>
  </w:style>
  <w:style w:type="paragraph" w:styleId="Revisjon">
    <w:name w:val="Revision"/>
    <w:hidden/>
    <w:uiPriority w:val="99"/>
    <w:semiHidden/>
    <w:rsid w:val="00BD04BB"/>
    <w:pPr>
      <w:spacing w:after="0" w:line="240" w:lineRule="auto"/>
    </w:pPr>
  </w:style>
  <w:style w:type="character" w:styleId="Sterkutheving">
    <w:name w:val="Intense Emphasis"/>
    <w:basedOn w:val="Standardskriftforavsnitt"/>
    <w:uiPriority w:val="21"/>
    <w:qFormat/>
    <w:rsid w:val="007D09CB"/>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317037">
      <w:bodyDiv w:val="1"/>
      <w:marLeft w:val="0"/>
      <w:marRight w:val="0"/>
      <w:marTop w:val="0"/>
      <w:marBottom w:val="0"/>
      <w:divBdr>
        <w:top w:val="none" w:sz="0" w:space="0" w:color="auto"/>
        <w:left w:val="none" w:sz="0" w:space="0" w:color="auto"/>
        <w:bottom w:val="none" w:sz="0" w:space="0" w:color="auto"/>
        <w:right w:val="none" w:sz="0" w:space="0" w:color="auto"/>
      </w:divBdr>
    </w:div>
    <w:div w:id="812059347">
      <w:bodyDiv w:val="1"/>
      <w:marLeft w:val="0"/>
      <w:marRight w:val="0"/>
      <w:marTop w:val="0"/>
      <w:marBottom w:val="0"/>
      <w:divBdr>
        <w:top w:val="none" w:sz="0" w:space="0" w:color="auto"/>
        <w:left w:val="none" w:sz="0" w:space="0" w:color="auto"/>
        <w:bottom w:val="none" w:sz="0" w:space="0" w:color="auto"/>
        <w:right w:val="none" w:sz="0" w:space="0" w:color="auto"/>
      </w:divBdr>
    </w:div>
    <w:div w:id="213293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02/003465431667206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folk.ntnu.no/gustafsk/Bjornsson-Skar-2021-Sensorreliabilitet-pa-skriftlig-eksamen-i-vgo.pdf" TargetMode="External"/><Relationship Id="rId4" Type="http://schemas.openxmlformats.org/officeDocument/2006/relationships/settings" Target="settings.xml"/><Relationship Id="rId9" Type="http://schemas.openxmlformats.org/officeDocument/2006/relationships/hyperlink" Target="https://www.ifau.se/globalassets/pdf/se/2010/r10-13-den-svenska-utbildningspolitikens-arbetsmarknadseffekter-vad-sager-forskningen.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D8246-184C-4EE8-8363-7EE51DA6D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2961</Words>
  <Characters>15695</Characters>
  <Application>Microsoft Office Word</Application>
  <DocSecurity>4</DocSecurity>
  <Lines>130</Lines>
  <Paragraphs>37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Lyng, Ragnhild Sperstad</dc:creator>
  <cp:keywords/>
  <dc:description/>
  <cp:lastModifiedBy>Lyng, Ragnhild Sperstad</cp:lastModifiedBy>
  <cp:revision>2</cp:revision>
  <dcterms:created xsi:type="dcterms:W3CDTF">2025-01-24T18:31:00Z</dcterms:created>
  <dcterms:modified xsi:type="dcterms:W3CDTF">2025-01-24T18:31:00Z</dcterms:modified>
</cp:coreProperties>
</file>